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400"/>
        <w:jc w:val="center"/>
      </w:pPr>
      <w:r>
        <w:rPr>
          <w:rFonts w:ascii="Arial" w:cs="Arial" w:eastAsia="Arial" w:hAnsi="Arial"/>
          <w:b/>
          <w:bCs/>
          <w:caps/>
          <w:color w:val="888888"/>
          <w:sz w:val="22"/>
          <w:szCs w:val="22"/>
        </w:rPr>
        <w:t xml:space="preserve">ESCUELA DE ESTUDIOS JUDICIALES</w:t>
      </w:r>
    </w:p>
    <w:p>
      <w:pPr>
        <w:spacing w:after="80" w:before="80"/>
        <w:jc w:val="center"/>
      </w:pPr>
      <w:r>
        <w:rPr>
          <w:rFonts w:ascii="Arial" w:cs="Arial" w:eastAsia="Arial" w:hAnsi="Arial"/>
          <w:caps/>
          <w:color w:val="AAAAAA"/>
          <w:sz w:val="20"/>
          <w:szCs w:val="20"/>
        </w:rPr>
        <w:t xml:space="preserve">ORGANISMO JUDICIAL DE GUATEMALA</w:t>
      </w:r>
    </w:p>
    <w:p>
      <w:pPr>
        <w:spacing w:after="200" w:before="400"/>
        <w:jc w:val="center"/>
      </w:pPr>
      <w:r>
        <w:rPr>
          <w:rFonts w:ascii="Arial" w:cs="Arial" w:eastAsia="Arial" w:hAnsi="Arial"/>
          <w:b/>
          <w:bCs/>
          <w:caps/>
          <w:color w:val="1F4E8B"/>
          <w:sz w:val="40"/>
          <w:szCs w:val="40"/>
        </w:rPr>
        <w:t xml:space="preserve">INVESTIGACIÓN DE FUNDAMENTACIÓN</w:t>
      </w:r>
    </w:p>
    <w:p>
      <w:pPr>
        <w:pBdr>
          <w:bottom w:val="single" w:color="D4A017" w:sz="8" w:space="6"/>
        </w:pBdr>
        <w:spacing w:after="80" w:before="80"/>
        <w:jc w:val="center"/>
      </w:pPr>
      <w:r>
        <w:rPr>
          <w:rFonts w:ascii="Arial" w:cs="Arial" w:eastAsia="Arial" w:hAnsi="Arial"/>
          <w:b/>
          <w:bCs/>
          <w:color w:val="1A1A2E"/>
          <w:sz w:val="26"/>
          <w:szCs w:val="26"/>
        </w:rPr>
        <w:t xml:space="preserve">CURSO: CULTURA DE JUSTICIA DIGITAL Y EL MANDATO DE TRANSFORMACIÓN</w:t>
      </w:r>
    </w:p>
    <w:p>
      <w:pPr>
        <w:spacing w:after="80" w:before="300"/>
        <w:jc w:val="center"/>
      </w:pPr>
      <w:r>
        <w:rPr>
          <w:rFonts w:ascii="Arial" w:cs="Arial" w:eastAsia="Arial" w:hAnsi="Arial"/>
          <w:i/>
          <w:iCs/>
          <w:color w:val="4A5568"/>
          <w:sz w:val="22"/>
          <w:szCs w:val="22"/>
        </w:rPr>
        <w:t xml:space="preserve">Por qué la transformación tecnológica no es una opción —</w:t>
      </w:r>
    </w:p>
    <w:p>
      <w:pPr>
        <w:spacing w:after="400" w:before="40"/>
        <w:jc w:val="center"/>
      </w:pPr>
      <w:r>
        <w:rPr>
          <w:rFonts w:ascii="Arial" w:cs="Arial" w:eastAsia="Arial" w:hAnsi="Arial"/>
          <w:i/>
          <w:iCs/>
          <w:color w:val="4A5568"/>
          <w:sz w:val="22"/>
          <w:szCs w:val="22"/>
        </w:rPr>
        <w:t xml:space="preserve">es un imperativo civilizatorio, laboral y constitucional</w:t>
      </w:r>
    </w:p>
    <w:p>
      <w:pPr>
        <w:spacing w:after="80" w:before="400"/>
        <w:jc w:val="center"/>
      </w:pPr>
      <w:r>
        <w:rPr>
          <w:rFonts w:ascii="Arial" w:cs="Arial" w:eastAsia="Arial" w:hAnsi="Arial"/>
          <w:color w:val="888888"/>
          <w:sz w:val="20"/>
          <w:szCs w:val="20"/>
        </w:rPr>
        <w:t xml:space="preserve">Investigación multidisciplinaria de fundamento académico y científico</w:t>
      </w:r>
    </w:p>
    <w:p>
      <w:pPr>
        <w:spacing w:after="60" w:before="60"/>
        <w:jc w:val="center"/>
      </w:pPr>
      <w:r>
        <w:rPr>
          <w:rFonts w:ascii="Arial" w:cs="Arial" w:eastAsia="Arial" w:hAnsi="Arial"/>
          <w:b/>
          <w:bCs/>
          <w:color w:val="1F4E8B"/>
          <w:sz w:val="20"/>
          <w:szCs w:val="20"/>
        </w:rPr>
        <w:t xml:space="preserve">Guatemala, 2026</w:t>
      </w:r>
    </w:p>
    <w:p>
      <w:r>
        <w:br w:type="page"/>
      </w:r>
    </w:p>
    <w:p>
      <w:pPr>
        <w:pStyle w:val="Heading1"/>
        <w:pBdr>
          <w:bottom w:val="single" w:color="1F4E8B" w:sz="6" w:space="4"/>
        </w:pBdr>
        <w:spacing w:after="200" w:before="400"/>
      </w:pPr>
      <w:r>
        <w:rPr>
          <w:rFonts w:ascii="Arial" w:cs="Arial" w:eastAsia="Arial" w:hAnsi="Arial"/>
          <w:b/>
          <w:bCs/>
          <w:color w:val="1F4E8B"/>
          <w:sz w:val="32"/>
          <w:szCs w:val="32"/>
        </w:rPr>
        <w:t xml:space="preserve">ÍNDICE TEMÁTICO DE LA INVESTIGACIÓN</w:t>
      </w:r>
    </w:p>
    <w:p>
      <w:pPr>
        <w:spacing w:after="80" w:before="80" w:line="280"/>
        <w:jc w:val="both"/>
      </w:pPr>
      <w:r>
        <w:rPr>
          <w:rFonts w:ascii="Arial" w:cs="Arial" w:eastAsia="Arial" w:hAnsi="Arial"/>
          <w:color w:val="4A5568"/>
          <w:sz w:val="22"/>
          <w:szCs w:val="22"/>
        </w:rPr>
        <w:t xml:space="preserve">Este documento de fundamentación científica y académica sustenta el diseño y la pertinencia del Curso 'Cultura de Justicia Digital y el Mandato de Transformación', aprobado conforme a las Políticas de la Escuela de Estudios Judiciales 2026. Se estructura en siete grandes ejes de investigación que abarcan desde las macrotendencias globales de la tecnología hasta la evidencia concreta del impacto de la Inteligencia Artificial en los sistemas de justicia comparados.</w:t>
      </w:r>
    </w:p>
    <w:p>
      <w:pPr>
        <w:spacing w:after="80" w:before="120"/>
      </w:pPr>
      <w:r>
        <w:rPr>
          <w:rFonts w:ascii="Arial" w:cs="Arial" w:eastAsia="Arial" w:hAnsi="Arial"/>
          <w:b/>
          <w:bCs/>
          <w:color w:val="1F4E8B"/>
          <w:sz w:val="22"/>
          <w:szCs w:val="22"/>
        </w:rPr>
        <w:t xml:space="preserve">EJE I — El contexto civilizatorio: De la Revolución Industrial a la Era de la IA</w:t>
      </w:r>
    </w:p>
    <w:p>
      <w:pPr>
        <w:spacing w:after="60" w:before="60"/>
      </w:pPr>
      <w:r>
        <w:rPr>
          <w:rFonts w:ascii="Arial" w:cs="Arial" w:eastAsia="Arial" w:hAnsi="Arial"/>
          <w:b/>
          <w:bCs/>
          <w:color w:val="1F4E8B"/>
          <w:sz w:val="22"/>
          <w:szCs w:val="22"/>
        </w:rPr>
        <w:t xml:space="preserve">EJE II — Tecnologías emergentes que redefinen el sistema de justicia</w:t>
      </w:r>
    </w:p>
    <w:p>
      <w:pPr>
        <w:spacing w:after="60" w:before="60"/>
      </w:pPr>
      <w:r>
        <w:rPr>
          <w:rFonts w:ascii="Arial" w:cs="Arial" w:eastAsia="Arial" w:hAnsi="Arial"/>
          <w:b/>
          <w:bCs/>
          <w:color w:val="1F4E8B"/>
          <w:sz w:val="22"/>
          <w:szCs w:val="22"/>
        </w:rPr>
        <w:t xml:space="preserve">EJE III — El futuro del trabajo: evidencia global, regional y local</w:t>
      </w:r>
    </w:p>
    <w:p>
      <w:pPr>
        <w:spacing w:after="60" w:before="60"/>
      </w:pPr>
      <w:r>
        <w:rPr>
          <w:rFonts w:ascii="Arial" w:cs="Arial" w:eastAsia="Arial" w:hAnsi="Arial"/>
          <w:b/>
          <w:bCs/>
          <w:color w:val="1F4E8B"/>
          <w:sz w:val="22"/>
          <w:szCs w:val="22"/>
        </w:rPr>
        <w:t xml:space="preserve">EJE IV — La respuesta educativa: Education 4.0 y el aprendizaje permanente</w:t>
      </w:r>
    </w:p>
    <w:p>
      <w:pPr>
        <w:spacing w:after="60" w:before="60"/>
      </w:pPr>
      <w:r>
        <w:rPr>
          <w:rFonts w:ascii="Arial" w:cs="Arial" w:eastAsia="Arial" w:hAnsi="Arial"/>
          <w:b/>
          <w:bCs/>
          <w:color w:val="1F4E8B"/>
          <w:sz w:val="22"/>
          <w:szCs w:val="22"/>
        </w:rPr>
        <w:t xml:space="preserve">EJE V — IA en la justicia global: oportunidades, riesgos y casos comparados</w:t>
      </w:r>
    </w:p>
    <w:p>
      <w:pPr>
        <w:spacing w:after="60" w:before="60"/>
      </w:pPr>
      <w:r>
        <w:rPr>
          <w:rFonts w:ascii="Arial" w:cs="Arial" w:eastAsia="Arial" w:hAnsi="Arial"/>
          <w:b/>
          <w:bCs/>
          <w:color w:val="1F4E8B"/>
          <w:sz w:val="22"/>
          <w:szCs w:val="22"/>
        </w:rPr>
        <w:t xml:space="preserve">EJE VI — Ciudadanía 4.0 y acceso a la justicia en la era digital</w:t>
      </w:r>
    </w:p>
    <w:p>
      <w:pPr>
        <w:spacing w:after="80" w:before="60"/>
      </w:pPr>
      <w:r>
        <w:rPr>
          <w:rFonts w:ascii="Arial" w:cs="Arial" w:eastAsia="Arial" w:hAnsi="Arial"/>
          <w:b/>
          <w:bCs/>
          <w:color w:val="1F4E8B"/>
          <w:sz w:val="22"/>
          <w:szCs w:val="22"/>
        </w:rPr>
        <w:t xml:space="preserve">EJE VII — El mandato guatemalteco: las Políticas EEJ 2026 como respuesta estructurada</w:t>
      </w:r>
    </w:p>
    <w:p>
      <w:r>
        <w:br w:type="page"/>
      </w:r>
    </w:p>
    <w:p>
      <w:pPr>
        <w:pStyle w:val="Heading1"/>
        <w:pBdr>
          <w:bottom w:val="single" w:color="1F4E8B" w:sz="6" w:space="4"/>
        </w:pBdr>
        <w:spacing w:after="200" w:before="400"/>
      </w:pPr>
      <w:r>
        <w:rPr>
          <w:rFonts w:ascii="Arial" w:cs="Arial" w:eastAsia="Arial" w:hAnsi="Arial"/>
          <w:b/>
          <w:bCs/>
          <w:color w:val="1F4E8B"/>
          <w:sz w:val="32"/>
          <w:szCs w:val="32"/>
        </w:rPr>
        <w:t xml:space="preserve">EJE I — EL CONTEXTO CIVILIZATORIO</w:t>
      </w:r>
    </w:p>
    <w:p>
      <w:pPr>
        <w:pStyle w:val="Heading2"/>
        <w:spacing w:after="140" w:before="320"/>
      </w:pPr>
      <w:r>
        <w:rPr>
          <w:rFonts w:ascii="Arial" w:cs="Arial" w:eastAsia="Arial" w:hAnsi="Arial"/>
          <w:b/>
          <w:bCs/>
          <w:color w:val="2E86AB"/>
          <w:sz w:val="26"/>
          <w:szCs w:val="26"/>
        </w:rPr>
        <w:t xml:space="preserve">De la Revolución Industrial a la Era de la Inteligencia Artificial</w:t>
      </w:r>
    </w:p>
    <w:p>
      <w:pPr>
        <w:spacing w:after="80" w:before="80" w:line="280"/>
        <w:jc w:val="both"/>
      </w:pPr>
      <w:r>
        <w:rPr>
          <w:rFonts w:ascii="Arial" w:cs="Arial" w:eastAsia="Arial" w:hAnsi="Arial"/>
          <w:color w:val="4A5568"/>
          <w:sz w:val="22"/>
          <w:szCs w:val="22"/>
        </w:rPr>
        <w:t xml:space="preserve">No se puede entender la urgencia de transformar el sistema de justicia guatemalteco sin comprender primero el arco histórico que nos trajo hasta aquí. Las revoluciones industriales no son eventos del pasado: son el patrón que explica por qué instituciones enteras —incluidos los sistemas de justicia— enfrentan hoy la presión más intensa de su historia.</w:t>
      </w:r>
    </w:p>
    <w:p>
      <w:pPr>
        <w:pStyle w:val="Heading3"/>
        <w:spacing w:after="120" w:before="240"/>
      </w:pPr>
      <w:r>
        <w:rPr>
          <w:rFonts w:ascii="Arial" w:cs="Arial" w:eastAsia="Arial" w:hAnsi="Arial"/>
          <w:b/>
          <w:bCs/>
          <w:color w:val="1A1A2E"/>
          <w:sz w:val="22"/>
          <w:szCs w:val="22"/>
        </w:rPr>
        <w:t xml:space="preserve">Las cuatro olas de transformación</w:t>
      </w:r>
    </w:p>
    <w:p>
      <w:pPr>
        <w:spacing w:after="80" w:before="80" w:line="280"/>
        <w:jc w:val="both"/>
      </w:pPr>
      <w:r>
        <w:rPr>
          <w:rFonts w:ascii="Arial" w:cs="Arial" w:eastAsia="Arial" w:hAnsi="Arial"/>
          <w:color w:val="4A5568"/>
          <w:sz w:val="22"/>
          <w:szCs w:val="22"/>
        </w:rPr>
        <w:t xml:space="preserve">La Primera Revolución Industrial (1760–1840) mecanizó el trabajo físico mediante la máquina de vapor. La Segunda (1870–1920) electrificó la producción en masa. La Tercera (1960–2000) digitalizó la información. Pero la Cuarta Revolución Industrial, conceptualizada por Klaus Schwab en el Foro Económico Mundial en 2016, es fundamentalmente diferente: no automatiza solo músculos ni solo datos; automatiza el razonamiento cognitivo complejo.</w:t>
      </w:r>
    </w:p>
    <w:p>
      <w:pPr>
        <w:spacing w:after="80" w:before="80" w:line="280"/>
        <w:jc w:val="both"/>
      </w:pPr>
      <w:r>
        <w:rPr>
          <w:rFonts w:ascii="Arial" w:cs="Arial" w:eastAsia="Arial" w:hAnsi="Arial"/>
          <w:color w:val="4A5568"/>
          <w:sz w:val="22"/>
          <w:szCs w:val="22"/>
        </w:rPr>
        <w:t xml:space="preserve">Y si las anteriores tardaron décadas en impactar el mercado laboral, la Cuarta lo está haciendo en años. Lo que el WEF denominaba tendencia en 2016 es ya realidad en 2026. De hecho, algunos analistas ya hablan de una Quinta Revolución Industrial —centrada en la colaboración entre humanos e IA— o simplemente de la 'Era de la IA Generativa'.</w:t>
      </w:r>
    </w:p>
    <w:p>
      <w:pPr>
        <w:pStyle w:val="Heading3"/>
        <w:spacing w:after="120" w:before="240"/>
      </w:pPr>
      <w:r>
        <w:rPr>
          <w:rFonts w:ascii="Arial" w:cs="Arial" w:eastAsia="Arial" w:hAnsi="Arial"/>
          <w:b/>
          <w:bCs/>
          <w:color w:val="1A1A2E"/>
          <w:sz w:val="22"/>
          <w:szCs w:val="22"/>
        </w:rPr>
        <w:t xml:space="preserve">¿Qué hace única a esta revolución?</w:t>
      </w:r>
    </w:p>
    <w:p>
      <w:pPr>
        <w:spacing w:after="80" w:before="80" w:line="280"/>
        <w:jc w:val="both"/>
      </w:pPr>
      <w:r>
        <w:rPr>
          <w:rFonts w:ascii="Arial" w:cs="Arial" w:eastAsia="Arial" w:hAnsi="Arial"/>
          <w:color w:val="4A5568"/>
          <w:sz w:val="22"/>
          <w:szCs w:val="22"/>
        </w:rPr>
        <w:t xml:space="preserve">La distinción crítica es triple. Primero, la velocidad: el tiempo entre la invención de una tecnología y su adopción masiva se ha comprimido de décadas a meses. ChatGPT alcanzó 100 millones de usuarios en 2 meses; el teléfono tardó 75 años en llegar al mismo número. Segundo, el alcance: afecta simultáneamente a todos los sectores, incluidos aquellos —como la justicia— que históricamente estuvieron más protegidos por la naturaleza exclusivamente humana de su trabajo. Tercero, la profundidad: penetra en el núcleo cognitivo de la toma de decisiones profesionales.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left w:type="dxa" w:w="120"/>
          <w:bottom w:type="dxa" w:w="80"/>
          <w:right w:type="dxa" w:w="120"/>
        </w:tblCellMar>
      </w:tblPr>
      <w:tblGrid>
        <w:gridCol w:w="3120"/>
        <w:gridCol w:w="6240"/>
      </w:tblGrid>
      <w:tr>
        <w:tc>
          <w:tcPr>
            <w:tcW w:type="dxa" w:w="3120"/>
            <w:tcBorders>
              <w:top w:val="single" w:color="CCCCCC" w:sz="1"/>
              <w:left w:val="single" w:color="CCCCCC" w:sz="1"/>
              <w:bottom w:val="single" w:color="CCCCCC" w:sz="1"/>
              <w:right w:val="single" w:color="CCCCCC" w:sz="1"/>
            </w:tcBorders>
            <w:shd w:fill="1F4E8B" w:val="clear"/>
            <w:tcMar>
              <w:top w:type="dxa" w:w="120"/>
              <w:left w:type="dxa" w:w="160"/>
              <w:bottom w:type="dxa" w:w="120"/>
              <w:right w:type="dxa" w:w="160"/>
            </w:tcMar>
            <w:vAlign w:val="center"/>
          </w:tcPr>
          <w:p>
            <w:pPr>
              <w:jc w:val="center"/>
            </w:pPr>
            <w:r>
              <w:rPr>
                <w:rFonts w:ascii="Arial" w:cs="Arial" w:eastAsia="Arial" w:hAnsi="Arial"/>
                <w:b/>
                <w:bCs/>
                <w:color w:val="FFFFFF"/>
                <w:sz w:val="20"/>
                <w:szCs w:val="20"/>
              </w:rPr>
              <w:t xml:space="preserve">Stanford AI Index 2025</w:t>
            </w:r>
          </w:p>
        </w:tc>
        <w:tc>
          <w:tcPr>
            <w:tcW w:type="dxa" w:w="6240"/>
            <w:tcBorders>
              <w:top w:val="single" w:color="CCCCCC" w:sz="1"/>
              <w:left w:val="single" w:color="CCCCCC" w:sz="1"/>
              <w:bottom w:val="single" w:color="CCCCCC" w:sz="1"/>
              <w:right w:val="single" w:color="CCCCCC" w:sz="1"/>
            </w:tcBorders>
            <w:shd w:fill="E8F4F8" w:val="clear"/>
            <w:tcMar>
              <w:top w:type="dxa" w:w="100"/>
              <w:left w:type="dxa" w:w="160"/>
              <w:bottom w:type="dxa" w:w="100"/>
              <w:right w:type="dxa" w:w="160"/>
            </w:tcMar>
          </w:tcPr>
          <w:p>
            <w:r>
              <w:rPr>
                <w:rFonts w:ascii="Arial" w:cs="Arial" w:eastAsia="Arial" w:hAnsi="Arial"/>
                <w:b/>
                <w:bCs/>
                <w:color w:val="1F4E8B"/>
                <w:sz w:val="26"/>
                <w:szCs w:val="26"/>
              </w:rPr>
              <w:t xml:space="preserve">280 veces más barato</w:t>
            </w:r>
          </w:p>
          <w:p>
            <w:r>
              <w:rPr>
                <w:rFonts w:ascii="Arial" w:cs="Arial" w:eastAsia="Arial" w:hAnsi="Arial"/>
                <w:i/>
                <w:iCs/>
                <w:color w:val="4A5568"/>
                <w:sz w:val="18"/>
                <w:szCs w:val="18"/>
              </w:rPr>
              <w:t xml:space="preserve">El costo de operar modelos IA como GPT-3.5 cayó 280 veces entre 2022 y 2024. La barrera de acceso tecnológico se ha desplomado.</w:t>
            </w:r>
          </w:p>
        </w:tc>
      </w:tr>
    </w:tbl>
    <w:p>
      <w:pPr>
        <w:spacing w:after="120" w:before="10"/>
      </w:pPr>
    </w:p>
    <w:p>
      <w:pPr>
        <w:spacing w:after="80" w:before="40"/>
        <w:jc w:val="both"/>
      </w:pPr>
      <w:r>
        <w:rPr>
          <w:rFonts w:ascii="Arial" w:cs="Arial" w:eastAsia="Arial" w:hAnsi="Arial"/>
          <w:i/>
          <w:iCs/>
          <w:color w:val="888888"/>
          <w:sz w:val="18"/>
          <w:szCs w:val="18"/>
        </w:rPr>
        <w:t xml:space="preserve">📌 Fuente: Stanford Institute for Human-Centered AI (HAI). AI Index Report 2025. Stanford University.</w:t>
      </w:r>
    </w:p>
    <w:p>
      <w:pPr>
        <w:pStyle w:val="Heading3"/>
        <w:spacing w:after="120" w:before="240"/>
      </w:pPr>
      <w:r>
        <w:rPr>
          <w:rFonts w:ascii="Arial" w:cs="Arial" w:eastAsia="Arial" w:hAnsi="Arial"/>
          <w:b/>
          <w:bCs/>
          <w:color w:val="1A1A2E"/>
          <w:sz w:val="22"/>
          <w:szCs w:val="22"/>
        </w:rPr>
        <w:t xml:space="preserve">Las tecnologías convergentes que definen la era</w:t>
      </w:r>
    </w:p>
    <w:p>
      <w:pPr>
        <w:spacing w:after="80" w:before="80" w:line="280"/>
        <w:jc w:val="both"/>
      </w:pPr>
      <w:r>
        <w:rPr>
          <w:rFonts w:ascii="Arial" w:cs="Arial" w:eastAsia="Arial" w:hAnsi="Arial"/>
          <w:color w:val="4A5568"/>
          <w:sz w:val="22"/>
          <w:szCs w:val="22"/>
        </w:rPr>
        <w:t xml:space="preserve">Tres tecnologías emergentes, que hasta hace poco avanzaban por separado, están convergiendo para crear un ecosistema tecnológico sin precedentes con implicaciones directas para la justicia:</w:t>
      </w:r>
    </w:p>
    <w:p>
      <w:pPr>
        <w:pStyle w:val="ListParagraph"/>
        <w:numPr>
          <w:ilvl w:val="0"/>
          <w:numId w:val="2"/>
        </w:numPr>
        <w:spacing w:after="60" w:before="60"/>
      </w:pPr>
      <w:r>
        <w:rPr>
          <w:rFonts w:ascii="Arial" w:cs="Arial" w:eastAsia="Arial" w:hAnsi="Arial"/>
          <w:color w:val="4A5568"/>
          <w:sz w:val="22"/>
          <w:szCs w:val="22"/>
        </w:rPr>
        <w:t xml:space="preserve">Inteligencia Artificial (IA) y Modelos de Lenguaje Grande (LLMs): Capaces de leer, redactar, analizar y razonar sobre documentos jurídicos. Ya son utilizados por abogados, jueces y personal judicial en 96 países según UNESCO (2024).</w:t>
      </w:r>
    </w:p>
    <w:p>
      <w:pPr>
        <w:pStyle w:val="ListParagraph"/>
        <w:numPr>
          <w:ilvl w:val="0"/>
          <w:numId w:val="2"/>
        </w:numPr>
        <w:spacing w:after="60" w:before="60"/>
      </w:pPr>
      <w:r>
        <w:rPr>
          <w:rFonts w:ascii="Arial" w:cs="Arial" w:eastAsia="Arial" w:hAnsi="Arial"/>
          <w:color w:val="4A5568"/>
          <w:sz w:val="22"/>
          <w:szCs w:val="22"/>
        </w:rPr>
        <w:t xml:space="preserve">Blockchain y Registros Distribuidos (DLT): Garantizan la integridad, trazabilidad e inmutabilidad de evidencia digital y documentos judiciales. Países como Estonia y Suiza ya los integran en sus sistemas de justicia.</w:t>
      </w:r>
    </w:p>
    <w:p>
      <w:pPr>
        <w:pStyle w:val="ListParagraph"/>
        <w:numPr>
          <w:ilvl w:val="0"/>
          <w:numId w:val="2"/>
        </w:numPr>
        <w:spacing w:after="60" w:before="60"/>
      </w:pPr>
      <w:r>
        <w:rPr>
          <w:rFonts w:ascii="Arial" w:cs="Arial" w:eastAsia="Arial" w:hAnsi="Arial"/>
          <w:color w:val="4A5568"/>
          <w:sz w:val="22"/>
          <w:szCs w:val="22"/>
        </w:rPr>
        <w:t xml:space="preserve">Computación Cuántica: Aunque en estadio inicial, promete acelerar el análisis de grandes volúmenes de datos jurídicos y desafiar los sistemas de cifrado que protegen la privacidad de los expedientes digitales.</w:t>
      </w:r>
    </w:p>
    <w:p>
      <w:pPr>
        <w:spacing w:after="80" w:before="80" w:line="280"/>
        <w:jc w:val="both"/>
      </w:pPr>
      <w:r>
        <w:rPr>
          <w:rFonts w:ascii="Arial" w:cs="Arial" w:eastAsia="Arial" w:hAnsi="Arial"/>
          <w:color w:val="4A5568"/>
          <w:sz w:val="22"/>
          <w:szCs w:val="22"/>
        </w:rPr>
        <w:t xml:space="preserve">Las Políticas EEJ 2026 reconocen este ecosistema en su Glosario al definir 'Tecnologías de Registro Distribuido (DLT/Blockchain)' como sistemas que 'garantizan la integridad, trazabilidad, seguridad e inmutabilidad de los datos judiciales, permitiendo auditorías transparentes y a prueba de manipulación'.</w:t>
      </w:r>
    </w:p>
    <w:p>
      <w:pPr>
        <w:spacing w:after="80" w:before="40"/>
        <w:jc w:val="both"/>
      </w:pPr>
      <w:r>
        <w:rPr>
          <w:rFonts w:ascii="Arial" w:cs="Arial" w:eastAsia="Arial" w:hAnsi="Arial"/>
          <w:i/>
          <w:iCs/>
          <w:color w:val="888888"/>
          <w:sz w:val="18"/>
          <w:szCs w:val="18"/>
        </w:rPr>
        <w:t xml:space="preserve">📌 Fuente: Políticas de la Escuela de Estudios Judiciales 2026, Glosario, pág. 30. Aprobadas por Oficio CCJSEUA-106-2026.</w:t>
      </w:r>
    </w:p>
    <w:p>
      <w:r>
        <w:br w:type="page"/>
      </w:r>
    </w:p>
    <w:p>
      <w:pPr>
        <w:pStyle w:val="Heading1"/>
        <w:pBdr>
          <w:bottom w:val="single" w:color="1F4E8B" w:sz="6" w:space="4"/>
        </w:pBdr>
        <w:spacing w:after="200" w:before="400"/>
      </w:pPr>
      <w:r>
        <w:rPr>
          <w:rFonts w:ascii="Arial" w:cs="Arial" w:eastAsia="Arial" w:hAnsi="Arial"/>
          <w:b/>
          <w:bCs/>
          <w:color w:val="1F4E8B"/>
          <w:sz w:val="32"/>
          <w:szCs w:val="32"/>
        </w:rPr>
        <w:t xml:space="preserve">EJE II — TECNOLOGÍAS EMERGENTES Y EL SISTEMA DE JUSTICIA</w:t>
      </w:r>
    </w:p>
    <w:p>
      <w:pPr>
        <w:pStyle w:val="Heading2"/>
        <w:spacing w:after="140" w:before="320"/>
      </w:pPr>
      <w:r>
        <w:rPr>
          <w:rFonts w:ascii="Arial" w:cs="Arial" w:eastAsia="Arial" w:hAnsi="Arial"/>
          <w:b/>
          <w:bCs/>
          <w:color w:val="2E86AB"/>
          <w:sz w:val="26"/>
          <w:szCs w:val="26"/>
        </w:rPr>
        <w:t xml:space="preserve">De la Promesa al Riesgo Real: Lo que ya está ocurriendo</w:t>
      </w:r>
    </w:p>
    <w:p>
      <w:pPr>
        <w:spacing w:after="80" w:before="80" w:line="280"/>
        <w:jc w:val="both"/>
      </w:pPr>
      <w:r>
        <w:rPr>
          <w:rFonts w:ascii="Arial" w:cs="Arial" w:eastAsia="Arial" w:hAnsi="Arial"/>
          <w:color w:val="4A5568"/>
          <w:sz w:val="22"/>
          <w:szCs w:val="22"/>
        </w:rPr>
        <w:t xml:space="preserve">La pregunta ya no es si la tecnología llegará al sistema judicial —ya llegó. La pregunta es si los operadores de justicia están preparados para comprenderla, usarla éticamente y, sobre todo, para detectar cuándo se usa indebidamente en su contra o en perjuicio de los justiciables.</w:t>
      </w:r>
    </w:p>
    <w:p>
      <w:pPr>
        <w:pStyle w:val="Heading3"/>
        <w:spacing w:after="120" w:before="240"/>
      </w:pPr>
      <w:r>
        <w:rPr>
          <w:rFonts w:ascii="Arial" w:cs="Arial" w:eastAsia="Arial" w:hAnsi="Arial"/>
          <w:b/>
          <w:bCs/>
          <w:color w:val="1A1A2E"/>
          <w:sz w:val="22"/>
          <w:szCs w:val="22"/>
        </w:rPr>
        <w:t xml:space="preserve">El dato que cambia todo: 44% de operadores judiciales en 96 países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left w:type="dxa" w:w="120"/>
          <w:bottom w:type="dxa" w:w="80"/>
          <w:right w:type="dxa" w:w="120"/>
        </w:tblCellMar>
      </w:tblPr>
      <w:tblGrid>
        <w:gridCol w:w="3120"/>
        <w:gridCol w:w="6240"/>
      </w:tblGrid>
      <w:tr>
        <w:tc>
          <w:tcPr>
            <w:tcW w:type="dxa" w:w="3120"/>
            <w:tcBorders>
              <w:top w:val="single" w:color="CCCCCC" w:sz="1"/>
              <w:left w:val="single" w:color="CCCCCC" w:sz="1"/>
              <w:bottom w:val="single" w:color="CCCCCC" w:sz="1"/>
              <w:right w:val="single" w:color="CCCCCC" w:sz="1"/>
            </w:tcBorders>
            <w:shd w:fill="1F4E8B" w:val="clear"/>
            <w:tcMar>
              <w:top w:type="dxa" w:w="120"/>
              <w:left w:type="dxa" w:w="160"/>
              <w:bottom w:type="dxa" w:w="120"/>
              <w:right w:type="dxa" w:w="160"/>
            </w:tcMar>
            <w:vAlign w:val="center"/>
          </w:tcPr>
          <w:p>
            <w:pPr>
              <w:jc w:val="center"/>
            </w:pPr>
            <w:r>
              <w:rPr>
                <w:rFonts w:ascii="Arial" w:cs="Arial" w:eastAsia="Arial" w:hAnsi="Arial"/>
                <w:b/>
                <w:bCs/>
                <w:color w:val="FFFFFF"/>
                <w:sz w:val="20"/>
                <w:szCs w:val="20"/>
              </w:rPr>
              <w:t xml:space="preserve">UNESCO, 2024</w:t>
            </w:r>
          </w:p>
        </w:tc>
        <w:tc>
          <w:tcPr>
            <w:tcW w:type="dxa" w:w="6240"/>
            <w:tcBorders>
              <w:top w:val="single" w:color="CCCCCC" w:sz="1"/>
              <w:left w:val="single" w:color="CCCCCC" w:sz="1"/>
              <w:bottom w:val="single" w:color="CCCCCC" w:sz="1"/>
              <w:right w:val="single" w:color="CCCCCC" w:sz="1"/>
            </w:tcBorders>
            <w:shd w:fill="E8F4F8" w:val="clear"/>
            <w:tcMar>
              <w:top w:type="dxa" w:w="100"/>
              <w:left w:type="dxa" w:w="160"/>
              <w:bottom w:type="dxa" w:w="100"/>
              <w:right w:type="dxa" w:w="160"/>
            </w:tcMar>
          </w:tcPr>
          <w:p>
            <w:r>
              <w:rPr>
                <w:rFonts w:ascii="Arial" w:cs="Arial" w:eastAsia="Arial" w:hAnsi="Arial"/>
                <w:b/>
                <w:bCs/>
                <w:color w:val="1F4E8B"/>
                <w:sz w:val="26"/>
                <w:szCs w:val="26"/>
              </w:rPr>
              <w:t xml:space="preserve">44% de operadores judiciales</w:t>
            </w:r>
          </w:p>
          <w:p>
            <w:r>
              <w:rPr>
                <w:rFonts w:ascii="Arial" w:cs="Arial" w:eastAsia="Arial" w:hAnsi="Arial"/>
                <w:i/>
                <w:iCs/>
                <w:color w:val="4A5568"/>
                <w:sz w:val="18"/>
                <w:szCs w:val="18"/>
              </w:rPr>
              <w:t xml:space="preserve">en 96 países ya utilizan herramientas de IA como ChatGPT para tareas laborales.</w:t>
            </w:r>
          </w:p>
        </w:tc>
      </w:tr>
    </w:tbl>
    <w:p>
      <w:pPr>
        <w:spacing w:after="120" w:before="10"/>
      </w:pPr>
    </w:p>
    <w:p>
      <w:pPr>
        <w:spacing w:after="80" w:before="40"/>
        <w:jc w:val="both"/>
      </w:pPr>
      <w:r>
        <w:rPr>
          <w:rFonts w:ascii="Arial" w:cs="Arial" w:eastAsia="Arial" w:hAnsi="Arial"/>
          <w:i/>
          <w:iCs/>
          <w:color w:val="888888"/>
          <w:sz w:val="18"/>
          <w:szCs w:val="18"/>
        </w:rPr>
        <w:t xml:space="preserve">📌 Fuente: UNESCO. AI and the Judiciary: Balancing Innovation with Integrity. 2024. Encuesta global de operadores judiciales.</w:t>
      </w:r>
    </w:p>
    <w:p>
      <w:pPr>
        <w:spacing w:after="80" w:before="80" w:line="280"/>
        <w:jc w:val="both"/>
      </w:pPr>
      <w:r>
        <w:rPr>
          <w:rFonts w:ascii="Arial" w:cs="Arial" w:eastAsia="Arial" w:hAnsi="Arial"/>
          <w:color w:val="4A5568"/>
          <w:sz w:val="22"/>
          <w:szCs w:val="22"/>
        </w:rPr>
        <w:t xml:space="preserve">Este dato de la UNESCO es el punto de quiebre del argumento central del curso: la IA no es una amenaza futura en la justicia —es una realidad presente que opera, con o sin regulación, en los tribunales del mundo. La ausencia de preparación no protege al sistema judicial; lo expone.</w:t>
      </w:r>
    </w:p>
    <w:p>
      <w:pPr>
        <w:pStyle w:val="Heading3"/>
        <w:spacing w:after="120" w:before="240"/>
      </w:pPr>
      <w:r>
        <w:rPr>
          <w:rFonts w:ascii="Arial" w:cs="Arial" w:eastAsia="Arial" w:hAnsi="Arial"/>
          <w:b/>
          <w:bCs/>
          <w:color w:val="1A1A2E"/>
          <w:sz w:val="22"/>
          <w:szCs w:val="22"/>
        </w:rPr>
        <w:t xml:space="preserve">La IA en los sistemas de justicia: Casos globales comparados</w:t>
      </w:r>
    </w:p>
    <w:p>
      <w:pPr>
        <w:spacing w:after="80" w:before="80" w:line="280"/>
        <w:jc w:val="both"/>
      </w:pPr>
      <w:r>
        <w:rPr>
          <w:rFonts w:ascii="Arial" w:cs="Arial" w:eastAsia="Arial" w:hAnsi="Arial"/>
          <w:color w:val="4A5568"/>
          <w:sz w:val="22"/>
          <w:szCs w:val="22"/>
        </w:rPr>
        <w:t xml:space="preserve">Una revisión de los principales sistemas de justicia del mundo revela un panorama que oscila entre la innovación responsable y el riesgo institucional:</w:t>
      </w:r>
    </w:p>
    <w:p>
      <w:pPr>
        <w:pStyle w:val="ListParagraph"/>
        <w:numPr>
          <w:ilvl w:val="0"/>
          <w:numId w:val="2"/>
        </w:numPr>
        <w:spacing w:after="60" w:before="60"/>
      </w:pPr>
      <w:r>
        <w:rPr>
          <w:rFonts w:ascii="Arial" w:cs="Arial" w:eastAsia="Arial" w:hAnsi="Arial"/>
          <w:color w:val="4A5568"/>
          <w:sz w:val="22"/>
          <w:szCs w:val="22"/>
        </w:rPr>
        <w:t xml:space="preserve">ARGENTINA — Prometea (2017-2024): Sistema de IA que procesó 658 casos de derechos humanos, laborales y de discapacidad con 90% de exactitud. Aumentó la productividad judicial en casi 300%, pasando de 130 a 490 casos por mes. Fue adoptado por la Corte Interamericana de Derechos Humanos. En 2024, comenzó a ser reemplazado por sistemas de IA generativa más avanzados.</w:t>
      </w:r>
    </w:p>
    <w:p>
      <w:pPr>
        <w:pStyle w:val="ListParagraph"/>
        <w:numPr>
          <w:ilvl w:val="0"/>
          <w:numId w:val="2"/>
        </w:numPr>
        <w:spacing w:after="60" w:before="60"/>
      </w:pPr>
      <w:r>
        <w:rPr>
          <w:rFonts w:ascii="Arial" w:cs="Arial" w:eastAsia="Arial" w:hAnsi="Arial"/>
          <w:color w:val="4A5568"/>
          <w:sz w:val="22"/>
          <w:szCs w:val="22"/>
        </w:rPr>
        <w:t xml:space="preserve">BRASIL — VICTOR y Chat-JT: El sistema VICTOR automatiza la revisión de recursos ante el Supremo Tribunal Federal, identificando en segundos lo que a un asistente judicial le toma 44 minutos. Chat-JT, lanzado en febrero de 2025, asiste a jueces, personal y practicantes en investigación legal, análisis de documentos y redacción de resoluciones estandarizadas.</w:t>
      </w:r>
    </w:p>
    <w:p>
      <w:pPr>
        <w:pStyle w:val="ListParagraph"/>
        <w:numPr>
          <w:ilvl w:val="0"/>
          <w:numId w:val="2"/>
        </w:numPr>
        <w:spacing w:after="60" w:before="60"/>
      </w:pPr>
      <w:r>
        <w:rPr>
          <w:rFonts w:ascii="Arial" w:cs="Arial" w:eastAsia="Arial" w:hAnsi="Arial"/>
          <w:color w:val="4A5568"/>
          <w:sz w:val="22"/>
          <w:szCs w:val="22"/>
        </w:rPr>
        <w:t xml:space="preserve">CHINA — Justicia Inteligente y LLM en Shenzhen: En junio de 2024, el Tribunal Intermedio de Shenzhen se convirtió en el primero en integrar sistemáticamente un LLM en el razonamiento judicial, entrenado con dos billones de caracteres chinos de textos jurídicos. Asiste en casos civiles y comerciales de derecho de familia, disputas de propiedad, contratos, trabajo y corporativo.</w:t>
      </w:r>
    </w:p>
    <w:p>
      <w:pPr>
        <w:pStyle w:val="ListParagraph"/>
        <w:numPr>
          <w:ilvl w:val="0"/>
          <w:numId w:val="2"/>
        </w:numPr>
        <w:spacing w:after="60" w:before="60"/>
      </w:pPr>
      <w:r>
        <w:rPr>
          <w:rFonts w:ascii="Arial" w:cs="Arial" w:eastAsia="Arial" w:hAnsi="Arial"/>
          <w:color w:val="4A5568"/>
          <w:sz w:val="22"/>
          <w:szCs w:val="22"/>
        </w:rPr>
        <w:t xml:space="preserve">ESTADOS UNIDOS — COMPAS y riesgo algorítmico: La herramienta de evaluación de riesgo de reincidencia COMPAS fue analizada en 2016 por ProPublica, revelando que clasificaba a acusados afroamericanos como de alto riesgo con el doble de frecuencia que a acusados blancos. Es el caso más citado a nivel global sobre el peligro de aplicar IA sin supervisión humana y sin comprensión de sus sesgos.</w:t>
      </w:r>
    </w:p>
    <w:p>
      <w:pPr>
        <w:pStyle w:val="ListParagraph"/>
        <w:numPr>
          <w:ilvl w:val="0"/>
          <w:numId w:val="2"/>
        </w:numPr>
        <w:spacing w:after="60" w:before="60"/>
      </w:pPr>
      <w:r>
        <w:rPr>
          <w:rFonts w:ascii="Arial" w:cs="Arial" w:eastAsia="Arial" w:hAnsi="Arial"/>
          <w:color w:val="4A5568"/>
          <w:sz w:val="22"/>
          <w:szCs w:val="22"/>
        </w:rPr>
        <w:t xml:space="preserve">ESTONIA Y PAÍSES BAJOS — Jueces robóticos para deudas menores: Utilizan sistemas automatizados para resolver disputas simples de deuda, liberando a los jueces para casos complejos. Son los casos más avanzados de delegación parcial de función jurisdiccional a sistemas automatizados.</w:t>
      </w:r>
    </w:p>
    <w:p>
      <w:pPr>
        <w:pStyle w:val="ListParagraph"/>
        <w:numPr>
          <w:ilvl w:val="0"/>
          <w:numId w:val="2"/>
        </w:numPr>
        <w:spacing w:after="60" w:before="60"/>
      </w:pPr>
      <w:r>
        <w:rPr>
          <w:rFonts w:ascii="Arial" w:cs="Arial" w:eastAsia="Arial" w:hAnsi="Arial"/>
          <w:color w:val="4A5568"/>
          <w:sz w:val="22"/>
          <w:szCs w:val="22"/>
        </w:rPr>
        <w:t xml:space="preserve">INDIA — SUPACE y SUVAS: El Portal de Asistencia en Eficiencia Judicial (SUPACE) y el software de traducción jurídica (SUVAS) han traducido más de 36,000 sentencias de la Corte Suprema a 17 idiomas regionales, democratizando el acceso a la jurisprudencia. Las audiencias virtuales entre 2020 y 2023 previenen estimadamente 50,000 toneladas métricas de emisiones de carbono al reducir desplazamientos.</w:t>
      </w:r>
    </w:p>
    <w:p>
      <w:pPr>
        <w:pStyle w:val="ListParagraph"/>
        <w:numPr>
          <w:ilvl w:val="0"/>
          <w:numId w:val="2"/>
        </w:numPr>
        <w:spacing w:after="60" w:before="60"/>
      </w:pPr>
      <w:r>
        <w:rPr>
          <w:rFonts w:ascii="Arial" w:cs="Arial" w:eastAsia="Arial" w:hAnsi="Arial"/>
          <w:color w:val="4A5568"/>
          <w:sz w:val="22"/>
          <w:szCs w:val="22"/>
        </w:rPr>
        <w:t xml:space="preserve">SINGAPUR — Guía para IA en tribunales (2024): El Tribunal Supremo publicó una guía aplicable a todos los usuarios de los tribunales (fiscales, abogados, personas no representadas), siendo uno de los marcos regulatorios más completos del mundo.</w:t>
      </w:r>
    </w:p>
    <w:p>
      <w:pPr>
        <w:spacing w:after="80" w:before="40"/>
        <w:jc w:val="both"/>
      </w:pPr>
      <w:r>
        <w:rPr>
          <w:rFonts w:ascii="Arial" w:cs="Arial" w:eastAsia="Arial" w:hAnsi="Arial"/>
          <w:i/>
          <w:iCs/>
          <w:color w:val="888888"/>
          <w:sz w:val="18"/>
          <w:szCs w:val="18"/>
        </w:rPr>
        <w:t xml:space="preserve">📌 Fuente: OECD. Governing with Artificial Intelligence: AI in Justice Administration and Access to Justice. 2025. / Stimson Center. AI in Global Majority Judicial Systems. 2026. / UNESCO. Draft Guidelines for the Use of AI Systems in Courts and Tribunals. 2025.</w:t>
      </w:r>
    </w:p>
    <w:p>
      <w:pPr>
        <w:pStyle w:val="Heading3"/>
        <w:spacing w:after="120" w:before="240"/>
      </w:pPr>
      <w:r>
        <w:rPr>
          <w:rFonts w:ascii="Arial" w:cs="Arial" w:eastAsia="Arial" w:hAnsi="Arial"/>
          <w:b/>
          <w:bCs/>
          <w:color w:val="1A1A2E"/>
          <w:sz w:val="22"/>
          <w:szCs w:val="22"/>
        </w:rPr>
        <w:t xml:space="preserve">Los riesgos: Cuando la IA no se comprende</w:t>
      </w:r>
    </w:p>
    <w:p>
      <w:pPr>
        <w:spacing w:after="80" w:before="80" w:line="280"/>
        <w:jc w:val="both"/>
      </w:pPr>
      <w:r>
        <w:rPr>
          <w:rFonts w:ascii="Arial" w:cs="Arial" w:eastAsia="Arial" w:hAnsi="Arial"/>
          <w:color w:val="4A5568"/>
          <w:sz w:val="22"/>
          <w:szCs w:val="22"/>
        </w:rPr>
        <w:t xml:space="preserve">La adopción tecnológica sin comprensión genera riesgos concretos para la justicia. Estos no son hipotéticos: ya han ocurrido:</w:t>
      </w:r>
    </w:p>
    <w:p>
      <w:pPr>
        <w:pStyle w:val="ListParagraph"/>
        <w:numPr>
          <w:ilvl w:val="0"/>
          <w:numId w:val="2"/>
        </w:numPr>
        <w:spacing w:after="60" w:before="60"/>
      </w:pPr>
      <w:r>
        <w:rPr>
          <w:rFonts w:ascii="Arial" w:cs="Arial" w:eastAsia="Arial" w:hAnsi="Arial"/>
          <w:color w:val="4A5568"/>
          <w:sz w:val="22"/>
          <w:szCs w:val="22"/>
        </w:rPr>
        <w:t xml:space="preserve">Sesgo algorítmico en sentencias: Sistemas de predicción de reincidencia han demostrado discriminar sistemáticamente por raza y origen étnico cuando se entrenan con datos históricos que reflejan desigualdades pasadas.</w:t>
      </w:r>
    </w:p>
    <w:p>
      <w:pPr>
        <w:pStyle w:val="ListParagraph"/>
        <w:numPr>
          <w:ilvl w:val="0"/>
          <w:numId w:val="2"/>
        </w:numPr>
        <w:spacing w:after="60" w:before="60"/>
      </w:pPr>
      <w:r>
        <w:rPr>
          <w:rFonts w:ascii="Arial" w:cs="Arial" w:eastAsia="Arial" w:hAnsi="Arial"/>
          <w:color w:val="4A5568"/>
          <w:sz w:val="22"/>
          <w:szCs w:val="22"/>
        </w:rPr>
        <w:t xml:space="preserve">Alucinaciones en argumentos legales: En 2025, abogados en el caso Walmart ante tribunales de EE.UU. admitieron que su IA generó citas de casos inexistentes (El País, Reuters, febrero 2025). Si los abogados que comparecen ante los jueces guatemaltecos usaran IA sin supervisión, ¿estaría preparado el sistema para detectarlo?</w:t>
      </w:r>
    </w:p>
    <w:p>
      <w:pPr>
        <w:pStyle w:val="ListParagraph"/>
        <w:numPr>
          <w:ilvl w:val="0"/>
          <w:numId w:val="2"/>
        </w:numPr>
        <w:spacing w:after="60" w:before="60"/>
      </w:pPr>
      <w:r>
        <w:rPr>
          <w:rFonts w:ascii="Arial" w:cs="Arial" w:eastAsia="Arial" w:hAnsi="Arial"/>
          <w:color w:val="4A5568"/>
          <w:sz w:val="22"/>
          <w:szCs w:val="22"/>
        </w:rPr>
        <w:t xml:space="preserve">'Caja negra' judicial: La opacidad de muchos algoritmos impide que los acusados puedan impugnar decisiones asistidas por IA, violando el debido proceso. Este es el fundamento del concepto de 'Soberanía Cognitiva' incorporado en las Políticas EEJ 2026.</w:t>
      </w:r>
    </w:p>
    <w:p>
      <w:pPr>
        <w:pStyle w:val="ListParagraph"/>
        <w:numPr>
          <w:ilvl w:val="0"/>
          <w:numId w:val="2"/>
        </w:numPr>
        <w:spacing w:after="60" w:before="60"/>
      </w:pPr>
      <w:r>
        <w:rPr>
          <w:rFonts w:ascii="Arial" w:cs="Arial" w:eastAsia="Arial" w:hAnsi="Arial"/>
          <w:color w:val="4A5568"/>
          <w:sz w:val="22"/>
          <w:szCs w:val="22"/>
        </w:rPr>
        <w:t xml:space="preserve">Evidencia digital no comprendida: Sin formación adecuada, un juez o magistrado puede no estar en condiciones de valorar correctamente evidencia presentada en formato digital, algorítmico o generada por IA.</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left w:type="dxa" w:w="120"/>
          <w:bottom w:type="dxa" w:w="80"/>
          <w:right w:type="dxa" w:w="120"/>
        </w:tblCellMar>
      </w:tblPr>
      <w:tblGrid>
        <w:gridCol w:w="3120"/>
        <w:gridCol w:w="6240"/>
      </w:tblGrid>
      <w:tr>
        <w:tc>
          <w:tcPr>
            <w:tcW w:type="dxa" w:w="3120"/>
            <w:tcBorders>
              <w:top w:val="single" w:color="CCCCCC" w:sz="1"/>
              <w:left w:val="single" w:color="CCCCCC" w:sz="1"/>
              <w:bottom w:val="single" w:color="CCCCCC" w:sz="1"/>
              <w:right w:val="single" w:color="CCCCCC" w:sz="1"/>
            </w:tcBorders>
            <w:shd w:fill="1F4E8B" w:val="clear"/>
            <w:tcMar>
              <w:top w:type="dxa" w:w="120"/>
              <w:left w:type="dxa" w:w="160"/>
              <w:bottom w:type="dxa" w:w="120"/>
              <w:right w:type="dxa" w:w="160"/>
            </w:tcMar>
            <w:vAlign w:val="center"/>
          </w:tcPr>
          <w:p>
            <w:pPr>
              <w:jc w:val="center"/>
            </w:pPr>
            <w:r>
              <w:rPr>
                <w:rFonts w:ascii="Arial" w:cs="Arial" w:eastAsia="Arial" w:hAnsi="Arial"/>
                <w:b/>
                <w:bCs/>
                <w:color w:val="FFFFFF"/>
                <w:sz w:val="20"/>
                <w:szCs w:val="20"/>
              </w:rPr>
              <w:t xml:space="preserve">Políticas EEJ 2026</w:t>
            </w:r>
          </w:p>
        </w:tc>
        <w:tc>
          <w:tcPr>
            <w:tcW w:type="dxa" w:w="6240"/>
            <w:tcBorders>
              <w:top w:val="single" w:color="CCCCCC" w:sz="1"/>
              <w:left w:val="single" w:color="CCCCCC" w:sz="1"/>
              <w:bottom w:val="single" w:color="CCCCCC" w:sz="1"/>
              <w:right w:val="single" w:color="CCCCCC" w:sz="1"/>
            </w:tcBorders>
            <w:shd w:fill="E8F4F8" w:val="clear"/>
            <w:tcMar>
              <w:top w:type="dxa" w:w="100"/>
              <w:left w:type="dxa" w:w="160"/>
              <w:bottom w:type="dxa" w:w="100"/>
              <w:right w:type="dxa" w:w="160"/>
            </w:tcMar>
          </w:tcPr>
          <w:p>
            <w:r>
              <w:rPr>
                <w:rFonts w:ascii="Arial" w:cs="Arial" w:eastAsia="Arial" w:hAnsi="Arial"/>
                <w:b/>
                <w:bCs/>
                <w:color w:val="1F4E8B"/>
                <w:sz w:val="26"/>
                <w:szCs w:val="26"/>
              </w:rPr>
              <w:t xml:space="preserve">Soberanía Cognitiva</w:t>
            </w:r>
          </w:p>
          <w:p>
            <w:r>
              <w:rPr>
                <w:rFonts w:ascii="Arial" w:cs="Arial" w:eastAsia="Arial" w:hAnsi="Arial"/>
                <w:i/>
                <w:iCs/>
                <w:color w:val="4A5568"/>
                <w:sz w:val="18"/>
                <w:szCs w:val="18"/>
              </w:rPr>
              <w:t xml:space="preserve">Principio que establece que la capacidad de razonamiento, valoración de la prueba y decisión final en un proceso judicial reside exclusiva e indelegablemente en el ser humano —el juez— y no puede ser transferida a un sistema automatizado.</w:t>
            </w:r>
          </w:p>
        </w:tc>
      </w:tr>
    </w:tbl>
    <w:p>
      <w:pPr>
        <w:spacing w:after="120" w:before="10"/>
      </w:pPr>
    </w:p>
    <w:p>
      <w:pPr>
        <w:spacing w:after="80" w:before="40"/>
        <w:jc w:val="both"/>
      </w:pPr>
      <w:r>
        <w:rPr>
          <w:rFonts w:ascii="Arial" w:cs="Arial" w:eastAsia="Arial" w:hAnsi="Arial"/>
          <w:i/>
          <w:iCs/>
          <w:color w:val="888888"/>
          <w:sz w:val="18"/>
          <w:szCs w:val="18"/>
        </w:rPr>
        <w:t xml:space="preserve">📌 Fuente: Políticas EEJ 2026, Glosario, pág. 30. / UNESCO. Draft Guidelines for AI in Courts. 2025.</w:t>
      </w:r>
    </w:p>
    <w:p>
      <w:r>
        <w:br w:type="page"/>
      </w:r>
    </w:p>
    <w:p>
      <w:pPr>
        <w:pStyle w:val="Heading1"/>
        <w:pBdr>
          <w:bottom w:val="single" w:color="1F4E8B" w:sz="6" w:space="4"/>
        </w:pBdr>
        <w:spacing w:after="200" w:before="400"/>
      </w:pPr>
      <w:r>
        <w:rPr>
          <w:rFonts w:ascii="Arial" w:cs="Arial" w:eastAsia="Arial" w:hAnsi="Arial"/>
          <w:b/>
          <w:bCs/>
          <w:color w:val="1F4E8B"/>
          <w:sz w:val="32"/>
          <w:szCs w:val="32"/>
        </w:rPr>
        <w:t xml:space="preserve">EJE III — EL FUTURO DEL TRABAJO</w:t>
      </w:r>
    </w:p>
    <w:p>
      <w:pPr>
        <w:pStyle w:val="Heading2"/>
        <w:spacing w:after="140" w:before="320"/>
      </w:pPr>
      <w:r>
        <w:rPr>
          <w:rFonts w:ascii="Arial" w:cs="Arial" w:eastAsia="Arial" w:hAnsi="Arial"/>
          <w:b/>
          <w:bCs/>
          <w:color w:val="2E86AB"/>
          <w:sz w:val="26"/>
          <w:szCs w:val="26"/>
        </w:rPr>
        <w:t xml:space="preserve">Evidencia global, regional y las implicaciones para Guatemala</w:t>
      </w:r>
    </w:p>
    <w:p>
      <w:pPr>
        <w:spacing w:after="80" w:before="80" w:line="280"/>
        <w:jc w:val="both"/>
      </w:pPr>
      <w:r>
        <w:rPr>
          <w:rFonts w:ascii="Arial" w:cs="Arial" w:eastAsia="Arial" w:hAnsi="Arial"/>
          <w:color w:val="4A5568"/>
          <w:sz w:val="22"/>
          <w:szCs w:val="22"/>
        </w:rPr>
        <w:t xml:space="preserve">Si el Eje II demuestra que la tecnología ya está en los tribunales, el Eje III demuestra que el mercado laboral en su conjunto —incluyendo los empleos judiciales— está siendo reconfigurado en tiempo real. Esta no es una proyección: es evidencia.</w:t>
      </w:r>
    </w:p>
    <w:p>
      <w:pPr>
        <w:pStyle w:val="Heading3"/>
        <w:spacing w:after="120" w:before="240"/>
      </w:pPr>
      <w:r>
        <w:rPr>
          <w:rFonts w:ascii="Arial" w:cs="Arial" w:eastAsia="Arial" w:hAnsi="Arial"/>
          <w:b/>
          <w:bCs/>
          <w:color w:val="1A1A2E"/>
          <w:sz w:val="22"/>
          <w:szCs w:val="22"/>
        </w:rPr>
        <w:t xml:space="preserve">La evidencia del WEF: Cinco ediciones del Futuro del Empleo (2018–2025)</w:t>
      </w:r>
    </w:p>
    <w:p>
      <w:pPr>
        <w:spacing w:after="80" w:before="80" w:line="280"/>
        <w:jc w:val="both"/>
      </w:pPr>
      <w:r>
        <w:rPr>
          <w:rFonts w:ascii="Arial" w:cs="Arial" w:eastAsia="Arial" w:hAnsi="Arial"/>
          <w:color w:val="4A5568"/>
          <w:sz w:val="22"/>
          <w:szCs w:val="22"/>
        </w:rPr>
        <w:t xml:space="preserve">El World Economic Forum ha publicado cinco ediciones de su informe 'Future of Jobs', constituyendo la serie de investigación continua más citada sobre el tema. La evolución de sus cifras revela una tendencia consistente y acelerada:</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left w:type="dxa" w:w="120"/>
          <w:bottom w:type="dxa" w:w="80"/>
          <w:right w:type="dxa" w:w="120"/>
        </w:tblCellMar>
      </w:tblPr>
      <w:tblGrid>
        <w:gridCol w:w="3120"/>
        <w:gridCol w:w="6240"/>
      </w:tblGrid>
      <w:tr>
        <w:tc>
          <w:tcPr>
            <w:tcW w:type="dxa" w:w="3120"/>
            <w:tcBorders>
              <w:top w:val="single" w:color="CCCCCC" w:sz="1"/>
              <w:left w:val="single" w:color="CCCCCC" w:sz="1"/>
              <w:bottom w:val="single" w:color="CCCCCC" w:sz="1"/>
              <w:right w:val="single" w:color="CCCCCC" w:sz="1"/>
            </w:tcBorders>
            <w:shd w:fill="1F4E8B" w:val="clear"/>
            <w:tcMar>
              <w:top w:type="dxa" w:w="120"/>
              <w:left w:type="dxa" w:w="160"/>
              <w:bottom w:type="dxa" w:w="120"/>
              <w:right w:type="dxa" w:w="160"/>
            </w:tcMar>
            <w:vAlign w:val="center"/>
          </w:tcPr>
          <w:p>
            <w:pPr>
              <w:jc w:val="center"/>
            </w:pPr>
            <w:r>
              <w:rPr>
                <w:rFonts w:ascii="Arial" w:cs="Arial" w:eastAsia="Arial" w:hAnsi="Arial"/>
                <w:b/>
                <w:bCs/>
                <w:color w:val="FFFFFF"/>
                <w:sz w:val="20"/>
                <w:szCs w:val="20"/>
              </w:rPr>
              <w:t xml:space="preserve">WEF Future of Jobs 2025</w:t>
            </w:r>
          </w:p>
        </w:tc>
        <w:tc>
          <w:tcPr>
            <w:tcW w:type="dxa" w:w="6240"/>
            <w:tcBorders>
              <w:top w:val="single" w:color="CCCCCC" w:sz="1"/>
              <w:left w:val="single" w:color="CCCCCC" w:sz="1"/>
              <w:bottom w:val="single" w:color="CCCCCC" w:sz="1"/>
              <w:right w:val="single" w:color="CCCCCC" w:sz="1"/>
            </w:tcBorders>
            <w:shd w:fill="E8F4F8" w:val="clear"/>
            <w:tcMar>
              <w:top w:type="dxa" w:w="100"/>
              <w:left w:type="dxa" w:w="160"/>
              <w:bottom w:type="dxa" w:w="100"/>
              <w:right w:type="dxa" w:w="160"/>
            </w:tcMar>
          </w:tcPr>
          <w:p>
            <w:r>
              <w:rPr>
                <w:rFonts w:ascii="Arial" w:cs="Arial" w:eastAsia="Arial" w:hAnsi="Arial"/>
                <w:b/>
                <w:bCs/>
                <w:color w:val="1F4E8B"/>
                <w:sz w:val="26"/>
                <w:szCs w:val="26"/>
              </w:rPr>
              <w:t xml:space="preserve">170 millones de empleos nuevos vs. 92 millones desplazados</w:t>
            </w:r>
          </w:p>
          <w:p>
            <w:r>
              <w:rPr>
                <w:rFonts w:ascii="Arial" w:cs="Arial" w:eastAsia="Arial" w:hAnsi="Arial"/>
                <w:i/>
                <w:iCs/>
                <w:color w:val="4A5568"/>
                <w:sz w:val="18"/>
                <w:szCs w:val="18"/>
              </w:rPr>
              <w:t xml:space="preserve">Neto: +78 millones de empleos para 2030. Pero el 22% del mercado laboral global se transformará.</w:t>
            </w:r>
          </w:p>
        </w:tc>
      </w:tr>
    </w:tbl>
    <w:p>
      <w:pPr>
        <w:spacing w:after="60" w:before="1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left w:type="dxa" w:w="120"/>
          <w:bottom w:type="dxa" w:w="80"/>
          <w:right w:type="dxa" w:w="120"/>
        </w:tblCellMar>
      </w:tblPr>
      <w:tblGrid>
        <w:gridCol w:w="3120"/>
        <w:gridCol w:w="6240"/>
      </w:tblGrid>
      <w:tr>
        <w:tc>
          <w:tcPr>
            <w:tcW w:type="dxa" w:w="3120"/>
            <w:tcBorders>
              <w:top w:val="single" w:color="CCCCCC" w:sz="1"/>
              <w:left w:val="single" w:color="CCCCCC" w:sz="1"/>
              <w:bottom w:val="single" w:color="CCCCCC" w:sz="1"/>
              <w:right w:val="single" w:color="CCCCCC" w:sz="1"/>
            </w:tcBorders>
            <w:shd w:fill="1F4E8B" w:val="clear"/>
            <w:tcMar>
              <w:top w:type="dxa" w:w="120"/>
              <w:left w:type="dxa" w:w="160"/>
              <w:bottom w:type="dxa" w:w="120"/>
              <w:right w:type="dxa" w:w="160"/>
            </w:tcMar>
            <w:vAlign w:val="center"/>
          </w:tcPr>
          <w:p>
            <w:pPr>
              <w:jc w:val="center"/>
            </w:pPr>
            <w:r>
              <w:rPr>
                <w:rFonts w:ascii="Arial" w:cs="Arial" w:eastAsia="Arial" w:hAnsi="Arial"/>
                <w:b/>
                <w:bCs/>
                <w:color w:val="FFFFFF"/>
                <w:sz w:val="20"/>
                <w:szCs w:val="20"/>
              </w:rPr>
              <w:t xml:space="preserve">WEF Future of Jobs 2025</w:t>
            </w:r>
          </w:p>
        </w:tc>
        <w:tc>
          <w:tcPr>
            <w:tcW w:type="dxa" w:w="6240"/>
            <w:tcBorders>
              <w:top w:val="single" w:color="CCCCCC" w:sz="1"/>
              <w:left w:val="single" w:color="CCCCCC" w:sz="1"/>
              <w:bottom w:val="single" w:color="CCCCCC" w:sz="1"/>
              <w:right w:val="single" w:color="CCCCCC" w:sz="1"/>
            </w:tcBorders>
            <w:shd w:fill="E8F4F8" w:val="clear"/>
            <w:tcMar>
              <w:top w:type="dxa" w:w="100"/>
              <w:left w:type="dxa" w:w="160"/>
              <w:bottom w:type="dxa" w:w="100"/>
              <w:right w:type="dxa" w:w="160"/>
            </w:tcMar>
          </w:tcPr>
          <w:p>
            <w:r>
              <w:rPr>
                <w:rFonts w:ascii="Arial" w:cs="Arial" w:eastAsia="Arial" w:hAnsi="Arial"/>
                <w:b/>
                <w:bCs/>
                <w:color w:val="1F4E8B"/>
                <w:sz w:val="26"/>
                <w:szCs w:val="26"/>
              </w:rPr>
              <w:t xml:space="preserve">39% de habilidades cambiarán para 2030</w:t>
            </w:r>
          </w:p>
          <w:p>
            <w:r>
              <w:rPr>
                <w:rFonts w:ascii="Arial" w:cs="Arial" w:eastAsia="Arial" w:hAnsi="Arial"/>
                <w:i/>
                <w:iCs/>
                <w:color w:val="4A5568"/>
                <w:sz w:val="18"/>
                <w:szCs w:val="18"/>
              </w:rPr>
              <w:t xml:space="preserve">El 63% de los empleadores ya cita la brecha de habilidades como principal barrera de transformación.</w:t>
            </w:r>
          </w:p>
        </w:tc>
      </w:tr>
    </w:tbl>
    <w:p>
      <w:pPr>
        <w:spacing w:after="60" w:before="1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left w:type="dxa" w:w="120"/>
          <w:bottom w:type="dxa" w:w="80"/>
          <w:right w:type="dxa" w:w="120"/>
        </w:tblCellMar>
      </w:tblPr>
      <w:tblGrid>
        <w:gridCol w:w="3120"/>
        <w:gridCol w:w="6240"/>
      </w:tblGrid>
      <w:tr>
        <w:tc>
          <w:tcPr>
            <w:tcW w:type="dxa" w:w="3120"/>
            <w:tcBorders>
              <w:top w:val="single" w:color="CCCCCC" w:sz="1"/>
              <w:left w:val="single" w:color="CCCCCC" w:sz="1"/>
              <w:bottom w:val="single" w:color="CCCCCC" w:sz="1"/>
              <w:right w:val="single" w:color="CCCCCC" w:sz="1"/>
            </w:tcBorders>
            <w:shd w:fill="1F4E8B" w:val="clear"/>
            <w:tcMar>
              <w:top w:type="dxa" w:w="120"/>
              <w:left w:type="dxa" w:w="160"/>
              <w:bottom w:type="dxa" w:w="120"/>
              <w:right w:type="dxa" w:w="160"/>
            </w:tcMar>
            <w:vAlign w:val="center"/>
          </w:tcPr>
          <w:p>
            <w:pPr>
              <w:jc w:val="center"/>
            </w:pPr>
            <w:r>
              <w:rPr>
                <w:rFonts w:ascii="Arial" w:cs="Arial" w:eastAsia="Arial" w:hAnsi="Arial"/>
                <w:b/>
                <w:bCs/>
                <w:color w:val="FFFFFF"/>
                <w:sz w:val="20"/>
                <w:szCs w:val="20"/>
              </w:rPr>
              <w:t xml:space="preserve">WEF Future of Jobs 2025</w:t>
            </w:r>
          </w:p>
        </w:tc>
        <w:tc>
          <w:tcPr>
            <w:tcW w:type="dxa" w:w="6240"/>
            <w:tcBorders>
              <w:top w:val="single" w:color="CCCCCC" w:sz="1"/>
              <w:left w:val="single" w:color="CCCCCC" w:sz="1"/>
              <w:bottom w:val="single" w:color="CCCCCC" w:sz="1"/>
              <w:right w:val="single" w:color="CCCCCC" w:sz="1"/>
            </w:tcBorders>
            <w:shd w:fill="E8F4F8" w:val="clear"/>
            <w:tcMar>
              <w:top w:type="dxa" w:w="100"/>
              <w:left w:type="dxa" w:w="160"/>
              <w:bottom w:type="dxa" w:w="100"/>
              <w:right w:type="dxa" w:w="160"/>
            </w:tcMar>
          </w:tcPr>
          <w:p>
            <w:r>
              <w:rPr>
                <w:rFonts w:ascii="Arial" w:cs="Arial" w:eastAsia="Arial" w:hAnsi="Arial"/>
                <w:b/>
                <w:bCs/>
                <w:color w:val="1F4E8B"/>
                <w:sz w:val="26"/>
                <w:szCs w:val="26"/>
              </w:rPr>
              <w:t xml:space="preserve">85% de empresas planean capacitar</w:t>
            </w:r>
          </w:p>
          <w:p>
            <w:r>
              <w:rPr>
                <w:rFonts w:ascii="Arial" w:cs="Arial" w:eastAsia="Arial" w:hAnsi="Arial"/>
                <w:i/>
                <w:iCs/>
                <w:color w:val="4A5568"/>
                <w:sz w:val="18"/>
                <w:szCs w:val="18"/>
              </w:rPr>
              <w:t xml:space="preserve">En sostenibilidad, integración de IA y alfabetización digital. La formación ya no es opcional.</w:t>
            </w:r>
          </w:p>
        </w:tc>
      </w:tr>
    </w:tbl>
    <w:p>
      <w:pPr>
        <w:spacing w:after="120" w:before="10"/>
      </w:pPr>
    </w:p>
    <w:p>
      <w:pPr>
        <w:spacing w:after="80" w:before="40"/>
        <w:jc w:val="both"/>
      </w:pPr>
      <w:r>
        <w:rPr>
          <w:rFonts w:ascii="Arial" w:cs="Arial" w:eastAsia="Arial" w:hAnsi="Arial"/>
          <w:i/>
          <w:iCs/>
          <w:color w:val="888888"/>
          <w:sz w:val="18"/>
          <w:szCs w:val="18"/>
        </w:rPr>
        <w:t xml:space="preserve">📌 Fuente: World Economic Forum. The Future of Jobs Report 2025. Ginebra: WEF, enero 2025. Datos de más de 1,000 empresas, 22 industrias, 55 economías.</w:t>
      </w:r>
    </w:p>
    <w:p>
      <w:pPr>
        <w:spacing w:after="80" w:before="80" w:line="280"/>
        <w:jc w:val="both"/>
      </w:pPr>
      <w:r>
        <w:rPr>
          <w:rFonts w:ascii="Arial" w:cs="Arial" w:eastAsia="Arial" w:hAnsi="Arial"/>
          <w:color w:val="4A5568"/>
          <w:sz w:val="22"/>
          <w:szCs w:val="22"/>
        </w:rPr>
        <w:t xml:space="preserve">Las habilidades tecnológicas lideran el crecimiento: IA y big data, ciberseguridad y alfabetización tecnológica encabezan la lista. Siguen pensamiento creativo, resiliencia, flexibilidad y aprendizaje continuo. El WEF (2023) define Education 4.0 precisamente en respuesta a esta demanda: una taxonomía de aprendizaje que va más allá de conocimientos para desarrollar capacidades adaptativas que son 'las menos probables de ser reemplazadas por tecnología'.</w:t>
      </w:r>
    </w:p>
    <w:p>
      <w:pPr>
        <w:pStyle w:val="Heading3"/>
        <w:spacing w:after="120" w:before="240"/>
      </w:pPr>
      <w:r>
        <w:rPr>
          <w:rFonts w:ascii="Arial" w:cs="Arial" w:eastAsia="Arial" w:hAnsi="Arial"/>
          <w:b/>
          <w:bCs/>
          <w:color w:val="1A1A2E"/>
          <w:sz w:val="22"/>
          <w:szCs w:val="22"/>
        </w:rPr>
        <w:t xml:space="preserve">El Índice Económico de Anthropic: Lo que está ocurriendo hoy</w:t>
      </w:r>
    </w:p>
    <w:p>
      <w:pPr>
        <w:spacing w:after="80" w:before="80" w:line="280"/>
        <w:jc w:val="both"/>
      </w:pPr>
      <w:r>
        <w:rPr>
          <w:rFonts w:ascii="Arial" w:cs="Arial" w:eastAsia="Arial" w:hAnsi="Arial"/>
          <w:color w:val="4A5568"/>
          <w:sz w:val="22"/>
          <w:szCs w:val="22"/>
        </w:rPr>
        <w:t xml:space="preserve">A diferencia de proyecciones, el Anthropic Economic Index mide el uso real de IA en contextos laborales. Sus hallazgos de noviembre 2025 y marzo 2026 son particularmente relevantes para el Organismo Judicial:</w:t>
      </w:r>
    </w:p>
    <w:p>
      <w:pPr>
        <w:pStyle w:val="ListParagraph"/>
        <w:numPr>
          <w:ilvl w:val="0"/>
          <w:numId w:val="2"/>
        </w:numPr>
        <w:spacing w:after="60" w:before="60"/>
      </w:pPr>
      <w:r>
        <w:rPr>
          <w:rFonts w:ascii="Arial" w:cs="Arial" w:eastAsia="Arial" w:hAnsi="Arial"/>
          <w:color w:val="4A5568"/>
          <w:sz w:val="22"/>
          <w:szCs w:val="22"/>
        </w:rPr>
        <w:t xml:space="preserve">El uso de IA para tareas de Instrucción Educativa y Biblioteca (que incluye desarrollo de materiales instruccionales) creció del 9% al 15% en un año.</w:t>
      </w:r>
    </w:p>
    <w:p>
      <w:pPr>
        <w:pStyle w:val="ListParagraph"/>
        <w:numPr>
          <w:ilvl w:val="0"/>
          <w:numId w:val="2"/>
        </w:numPr>
        <w:spacing w:after="60" w:before="60"/>
      </w:pPr>
      <w:r>
        <w:rPr>
          <w:rFonts w:ascii="Arial" w:cs="Arial" w:eastAsia="Arial" w:hAnsi="Arial"/>
          <w:color w:val="4A5568"/>
          <w:sz w:val="22"/>
          <w:szCs w:val="22"/>
        </w:rPr>
        <w:t xml:space="preserve">Las ocupaciones con mayor exposición a la IA incluyen trabajo administrativo, análisis de datos, redacción y servicio al cliente —todas presentes en el OJ.</w:t>
      </w:r>
    </w:p>
    <w:p>
      <w:pPr>
        <w:pStyle w:val="ListParagraph"/>
        <w:numPr>
          <w:ilvl w:val="0"/>
          <w:numId w:val="2"/>
        </w:numPr>
        <w:spacing w:after="60" w:before="60"/>
      </w:pPr>
      <w:r>
        <w:rPr>
          <w:rFonts w:ascii="Arial" w:cs="Arial" w:eastAsia="Arial" w:hAnsi="Arial"/>
          <w:color w:val="4A5568"/>
          <w:sz w:val="22"/>
          <w:szCs w:val="22"/>
        </w:rPr>
        <w:t xml:space="preserve">Los trabajadores más expuestos tienen mayor nivel educativo y mejor remuneración, destruyendo el mito de que solo los trabajos 'no calificados' están en riesgo.</w:t>
      </w:r>
    </w:p>
    <w:p>
      <w:pPr>
        <w:pStyle w:val="ListParagraph"/>
        <w:numPr>
          <w:ilvl w:val="0"/>
          <w:numId w:val="2"/>
        </w:numPr>
        <w:spacing w:after="60" w:before="60"/>
      </w:pPr>
      <w:r>
        <w:rPr>
          <w:rFonts w:ascii="Arial" w:cs="Arial" w:eastAsia="Arial" w:hAnsi="Arial"/>
          <w:color w:val="4A5568"/>
          <w:sz w:val="22"/>
          <w:szCs w:val="22"/>
        </w:rPr>
        <w:t xml:space="preserve">La adopción de IA en EE.UU. se está homogeneizando a un ritmo 10 veces más rápido que la difusión de tecnologías del siglo XX. La ventana para prepararse es estrecha.</w:t>
      </w:r>
    </w:p>
    <w:p>
      <w:pPr>
        <w:spacing w:after="80" w:before="40"/>
        <w:jc w:val="both"/>
      </w:pPr>
      <w:r>
        <w:rPr>
          <w:rFonts w:ascii="Arial" w:cs="Arial" w:eastAsia="Arial" w:hAnsi="Arial"/>
          <w:i/>
          <w:iCs/>
          <w:color w:val="888888"/>
          <w:sz w:val="18"/>
          <w:szCs w:val="18"/>
        </w:rPr>
        <w:t xml:space="preserve">📌 Fuente: Anthropic Economic Index. Economic Primitives Report. Enero 2026. / Anthropic. Labor Market Impacts of AI: A New Measure and Early Evidence. Marzo 2026.</w:t>
      </w:r>
    </w:p>
    <w:p>
      <w:pPr>
        <w:pStyle w:val="Heading3"/>
        <w:spacing w:after="120" w:before="240"/>
      </w:pPr>
      <w:r>
        <w:rPr>
          <w:rFonts w:ascii="Arial" w:cs="Arial" w:eastAsia="Arial" w:hAnsi="Arial"/>
          <w:b/>
          <w:bCs/>
          <w:color w:val="1A1A2E"/>
          <w:sz w:val="22"/>
          <w:szCs w:val="22"/>
        </w:rPr>
        <w:t xml:space="preserve">América Latina: El riesgo de quedar rezagada</w:t>
      </w:r>
    </w:p>
    <w:p>
      <w:pPr>
        <w:spacing w:after="80" w:before="80" w:line="280"/>
        <w:jc w:val="both"/>
      </w:pPr>
      <w:r>
        <w:rPr>
          <w:rFonts w:ascii="Arial" w:cs="Arial" w:eastAsia="Arial" w:hAnsi="Arial"/>
          <w:color w:val="4A5568"/>
          <w:sz w:val="22"/>
          <w:szCs w:val="22"/>
        </w:rPr>
        <w:t xml:space="preserve">La Serie de Investigación del BID 'El Futuro del Trabajo en América Latina y el Caribe' (11 volúmenes, 2018–2024) documenta una realidad preocupante para la región:</w:t>
      </w:r>
    </w:p>
    <w:p>
      <w:pPr>
        <w:pStyle w:val="ListParagraph"/>
        <w:numPr>
          <w:ilvl w:val="0"/>
          <w:numId w:val="2"/>
        </w:numPr>
        <w:spacing w:after="60" w:before="60"/>
      </w:pPr>
      <w:r>
        <w:rPr>
          <w:rFonts w:ascii="Arial" w:cs="Arial" w:eastAsia="Arial" w:hAnsi="Arial"/>
          <w:color w:val="4A5568"/>
          <w:sz w:val="22"/>
          <w:szCs w:val="22"/>
        </w:rPr>
        <w:t xml:space="preserve">La automatización en países desarrollados como EE.UU. transmite efectos al mercado laboral latinoamericano a través del comercio internacional, incluso cuando la región no adopte directamente la tecnología. La robotización de la manufactura estadounidense ya ha impactado negativamente el empleo en Brasil y Colombia.</w:t>
      </w:r>
    </w:p>
    <w:p>
      <w:pPr>
        <w:pStyle w:val="ListParagraph"/>
        <w:numPr>
          <w:ilvl w:val="0"/>
          <w:numId w:val="2"/>
        </w:numPr>
        <w:spacing w:after="60" w:before="60"/>
      </w:pPr>
      <w:r>
        <w:rPr>
          <w:rFonts w:ascii="Arial" w:cs="Arial" w:eastAsia="Arial" w:hAnsi="Arial"/>
          <w:color w:val="4A5568"/>
          <w:sz w:val="22"/>
          <w:szCs w:val="22"/>
        </w:rPr>
        <w:t xml:space="preserve">Los grupos históricamente más vulnerables —mujeres, adultos mayores, trabajadores informales— son los más afectados por estos cambios tecnológicos transmitidos externamente.</w:t>
      </w:r>
    </w:p>
    <w:p>
      <w:pPr>
        <w:pStyle w:val="ListParagraph"/>
        <w:numPr>
          <w:ilvl w:val="0"/>
          <w:numId w:val="2"/>
        </w:numPr>
        <w:spacing w:after="60" w:before="60"/>
      </w:pPr>
      <w:r>
        <w:rPr>
          <w:rFonts w:ascii="Arial" w:cs="Arial" w:eastAsia="Arial" w:hAnsi="Arial"/>
          <w:color w:val="4A5568"/>
          <w:sz w:val="22"/>
          <w:szCs w:val="22"/>
        </w:rPr>
        <w:t xml:space="preserve">La penetración de habilidades tecnológicas y de IA en América Latina es del 2.16%, frente al 3.59% del resto del mundo (Índice Latinoamericano de IA, ILIA 2023).</w:t>
      </w:r>
    </w:p>
    <w:p>
      <w:pPr>
        <w:pStyle w:val="ListParagraph"/>
        <w:numPr>
          <w:ilvl w:val="0"/>
          <w:numId w:val="2"/>
        </w:numPr>
        <w:spacing w:after="60" w:before="60"/>
      </w:pPr>
      <w:r>
        <w:rPr>
          <w:rFonts w:ascii="Arial" w:cs="Arial" w:eastAsia="Arial" w:hAnsi="Arial"/>
          <w:color w:val="4A5568"/>
          <w:sz w:val="22"/>
          <w:szCs w:val="22"/>
        </w:rPr>
        <w:t xml:space="preserve">Solo tres países de la región —Brasil, Colombia y México— tienen programas públicos de formación en herramientas de IA. Guatemala no está entre ellos.</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left w:type="dxa" w:w="120"/>
          <w:bottom w:type="dxa" w:w="80"/>
          <w:right w:type="dxa" w:w="120"/>
        </w:tblCellMar>
      </w:tblPr>
      <w:tblGrid>
        <w:gridCol w:w="3120"/>
        <w:gridCol w:w="6240"/>
      </w:tblGrid>
      <w:tr>
        <w:tc>
          <w:tcPr>
            <w:tcW w:type="dxa" w:w="3120"/>
            <w:tcBorders>
              <w:top w:val="single" w:color="CCCCCC" w:sz="1"/>
              <w:left w:val="single" w:color="CCCCCC" w:sz="1"/>
              <w:bottom w:val="single" w:color="CCCCCC" w:sz="1"/>
              <w:right w:val="single" w:color="CCCCCC" w:sz="1"/>
            </w:tcBorders>
            <w:shd w:fill="1F4E8B" w:val="clear"/>
            <w:tcMar>
              <w:top w:type="dxa" w:w="120"/>
              <w:left w:type="dxa" w:w="160"/>
              <w:bottom w:type="dxa" w:w="120"/>
              <w:right w:type="dxa" w:w="160"/>
            </w:tcMar>
            <w:vAlign w:val="center"/>
          </w:tcPr>
          <w:p>
            <w:pPr>
              <w:jc w:val="center"/>
            </w:pPr>
            <w:r>
              <w:rPr>
                <w:rFonts w:ascii="Arial" w:cs="Arial" w:eastAsia="Arial" w:hAnsi="Arial"/>
                <w:b/>
                <w:bCs/>
                <w:color w:val="FFFFFF"/>
                <w:sz w:val="20"/>
                <w:szCs w:val="20"/>
              </w:rPr>
              <w:t xml:space="preserve">WEF Future of Jobs 2025 — ALC</w:t>
            </w:r>
          </w:p>
        </w:tc>
        <w:tc>
          <w:tcPr>
            <w:tcW w:type="dxa" w:w="6240"/>
            <w:tcBorders>
              <w:top w:val="single" w:color="CCCCCC" w:sz="1"/>
              <w:left w:val="single" w:color="CCCCCC" w:sz="1"/>
              <w:bottom w:val="single" w:color="CCCCCC" w:sz="1"/>
              <w:right w:val="single" w:color="CCCCCC" w:sz="1"/>
            </w:tcBorders>
            <w:shd w:fill="E8F4F8" w:val="clear"/>
            <w:tcMar>
              <w:top w:type="dxa" w:w="100"/>
              <w:left w:type="dxa" w:w="160"/>
              <w:bottom w:type="dxa" w:w="100"/>
              <w:right w:type="dxa" w:w="160"/>
            </w:tcMar>
          </w:tcPr>
          <w:p>
            <w:r>
              <w:rPr>
                <w:rFonts w:ascii="Arial" w:cs="Arial" w:eastAsia="Arial" w:hAnsi="Arial"/>
                <w:b/>
                <w:bCs/>
                <w:color w:val="1F4E8B"/>
                <w:sz w:val="26"/>
                <w:szCs w:val="26"/>
              </w:rPr>
              <w:t xml:space="preserve">84% de empleadores en América Latina</w:t>
            </w:r>
          </w:p>
          <w:p>
            <w:r>
              <w:rPr>
                <w:rFonts w:ascii="Arial" w:cs="Arial" w:eastAsia="Arial" w:hAnsi="Arial"/>
                <w:i/>
                <w:iCs/>
                <w:color w:val="4A5568"/>
                <w:sz w:val="18"/>
                <w:szCs w:val="18"/>
              </w:rPr>
              <w:t xml:space="preserve">planean mejorar las habilidades de su fuerza laboral para satisfacer la demanda de talento digital y tecnológico.</w:t>
            </w:r>
          </w:p>
        </w:tc>
      </w:tr>
    </w:tbl>
    <w:p>
      <w:pPr>
        <w:spacing w:after="120" w:before="10"/>
      </w:pPr>
    </w:p>
    <w:p>
      <w:pPr>
        <w:spacing w:after="80" w:before="40"/>
        <w:jc w:val="both"/>
      </w:pPr>
      <w:r>
        <w:rPr>
          <w:rFonts w:ascii="Arial" w:cs="Arial" w:eastAsia="Arial" w:hAnsi="Arial"/>
          <w:i/>
          <w:iCs/>
          <w:color w:val="888888"/>
          <w:sz w:val="18"/>
          <w:szCs w:val="18"/>
        </w:rPr>
        <w:t xml:space="preserve">📌 Fuente: BID. El futuro del trabajo en América Latina y el Caribe: ¿Cuál es el impacto de la automatización en el empleo y los salarios? 2020. / OIT. Panorama Laboral 2025. / WEF. El futuro del trabajo en América Latina y el Caribe. Abril 2025.</w:t>
      </w:r>
    </w:p>
    <w:p>
      <w:pPr>
        <w:spacing w:after="80" w:before="80" w:line="280"/>
        <w:jc w:val="both"/>
      </w:pPr>
      <w:r>
        <w:rPr>
          <w:rFonts w:ascii="Arial" w:cs="Arial" w:eastAsia="Arial" w:hAnsi="Arial"/>
          <w:color w:val="4A5568"/>
          <w:sz w:val="22"/>
          <w:szCs w:val="22"/>
        </w:rPr>
        <w:t xml:space="preserve">La conclusión para el Organismo Judicial es directa: el personal judicial y administrativo que no desarrolle competencias digitales básicas verá su perfil laboral degradarse, no por culpa de la IA, sino por la brecha que se abre entre quienes la comprenden y quienes no.</w:t>
      </w:r>
    </w:p>
    <w:p>
      <w:r>
        <w:br w:type="page"/>
      </w:r>
    </w:p>
    <w:p>
      <w:pPr>
        <w:pStyle w:val="Heading1"/>
        <w:pBdr>
          <w:bottom w:val="single" w:color="1F4E8B" w:sz="6" w:space="4"/>
        </w:pBdr>
        <w:spacing w:after="200" w:before="400"/>
      </w:pPr>
      <w:r>
        <w:rPr>
          <w:rFonts w:ascii="Arial" w:cs="Arial" w:eastAsia="Arial" w:hAnsi="Arial"/>
          <w:b/>
          <w:bCs/>
          <w:color w:val="1F4E8B"/>
          <w:sz w:val="32"/>
          <w:szCs w:val="32"/>
        </w:rPr>
        <w:t xml:space="preserve">EJE IV — LA RESPUESTA EDUCATIVA</w:t>
      </w:r>
    </w:p>
    <w:p>
      <w:pPr>
        <w:pStyle w:val="Heading2"/>
        <w:spacing w:after="140" w:before="320"/>
      </w:pPr>
      <w:r>
        <w:rPr>
          <w:rFonts w:ascii="Arial" w:cs="Arial" w:eastAsia="Arial" w:hAnsi="Arial"/>
          <w:b/>
          <w:bCs/>
          <w:color w:val="2E86AB"/>
          <w:sz w:val="26"/>
          <w:szCs w:val="26"/>
        </w:rPr>
        <w:t xml:space="preserve">Education 4.0: Del conocimiento a la capacidad adaptativa</w:t>
      </w:r>
    </w:p>
    <w:p>
      <w:pPr>
        <w:spacing w:after="80" w:before="80" w:line="280"/>
        <w:jc w:val="both"/>
      </w:pPr>
      <w:r>
        <w:rPr>
          <w:rFonts w:ascii="Arial" w:cs="Arial" w:eastAsia="Arial" w:hAnsi="Arial"/>
          <w:color w:val="4A5568"/>
          <w:sz w:val="22"/>
          <w:szCs w:val="22"/>
        </w:rPr>
        <w:t xml:space="preserve">Si el Eje III identifica el problema, el Eje IV identifica la respuesta estructural que el mundo ha construido. No es solo una cuestión de 'aprender a usar computadoras'. Education 4.0 es una reconfiguración profunda de para qué y cómo aprendemos, especialmente para adultos en ejercicio profesional.</w:t>
      </w:r>
    </w:p>
    <w:p>
      <w:pPr>
        <w:pStyle w:val="Heading3"/>
        <w:spacing w:after="120" w:before="240"/>
      </w:pPr>
      <w:r>
        <w:rPr>
          <w:rFonts w:ascii="Arial" w:cs="Arial" w:eastAsia="Arial" w:hAnsi="Arial"/>
          <w:b/>
          <w:bCs/>
          <w:color w:val="1A1A2E"/>
          <w:sz w:val="22"/>
          <w:szCs w:val="22"/>
        </w:rPr>
        <w:t xml:space="preserve">New Vision for Education (WEF, 2015) y la brecha de habilidades del siglo XXI</w:t>
      </w:r>
    </w:p>
    <w:p>
      <w:pPr>
        <w:spacing w:after="80" w:before="80" w:line="280"/>
        <w:jc w:val="both"/>
      </w:pPr>
      <w:r>
        <w:rPr>
          <w:rFonts w:ascii="Arial" w:cs="Arial" w:eastAsia="Arial" w:hAnsi="Arial"/>
          <w:color w:val="4A5568"/>
          <w:sz w:val="22"/>
          <w:szCs w:val="22"/>
        </w:rPr>
        <w:t xml:space="preserve">El WEF identificó desde 2015 las 16 habilidades críticas del siglo XXI, agrupadas en tres categorías: Alfabetizaciones fundamentales (literacidad, numeracia, alfabetización científica, TIC, financiera y cultural), Competencias (pensamiento crítico, creatividad, comunicación, colaboración) y Cualidades de carácter (curiosidad, iniciativa, persistencia, adaptabilidad, liderazgo, consciencia social y cultural).</w:t>
      </w:r>
    </w:p>
    <w:p>
      <w:pPr>
        <w:spacing w:after="80" w:before="80" w:line="280"/>
        <w:jc w:val="both"/>
      </w:pPr>
      <w:r>
        <w:rPr>
          <w:rFonts w:ascii="Arial" w:cs="Arial" w:eastAsia="Arial" w:hAnsi="Arial"/>
          <w:color w:val="4A5568"/>
          <w:sz w:val="22"/>
          <w:szCs w:val="22"/>
        </w:rPr>
        <w:t xml:space="preserve">El diagnóstico fue claro: la mayoría de los sistemas educativos del mundo no estaban desarrollando estas habilidades con la profundidad requerida. Diez años después, el desafío se ha intensificado con la irrupción de la IA.</w:t>
      </w:r>
    </w:p>
    <w:p>
      <w:pPr>
        <w:pStyle w:val="Heading3"/>
        <w:spacing w:after="120" w:before="240"/>
      </w:pPr>
      <w:r>
        <w:rPr>
          <w:rFonts w:ascii="Arial" w:cs="Arial" w:eastAsia="Arial" w:hAnsi="Arial"/>
          <w:b/>
          <w:bCs/>
          <w:color w:val="1A1A2E"/>
          <w:sz w:val="22"/>
          <w:szCs w:val="22"/>
        </w:rPr>
        <w:t xml:space="preserve">Education 4.0 Framework y Taxonomía (WEF, 2020–2023)</w:t>
      </w:r>
    </w:p>
    <w:p>
      <w:pPr>
        <w:spacing w:after="80" w:before="80" w:line="280"/>
        <w:jc w:val="both"/>
      </w:pPr>
      <w:r>
        <w:rPr>
          <w:rFonts w:ascii="Arial" w:cs="Arial" w:eastAsia="Arial" w:hAnsi="Arial"/>
          <w:color w:val="4A5568"/>
          <w:sz w:val="22"/>
          <w:szCs w:val="22"/>
        </w:rPr>
        <w:t xml:space="preserve">En respuesta, el WEF desarrolló el marco Education 4.0, consolidado en el white paper 'Defining Education 4.0: A Taxonomy for the Future of Learning' (2023). Su premisa fundamental es esta:</w:t>
      </w:r>
    </w:p>
    <w:p>
      <w:pPr>
        <w:spacing w:after="120" w:before="120"/>
        <w:jc w:val="center"/>
      </w:pPr>
      <w:r>
        <w:rPr>
          <w:rFonts w:ascii="Arial" w:cs="Arial" w:eastAsia="Arial" w:hAnsi="Arial"/>
          <w:b/>
          <w:bCs/>
          <w:i/>
          <w:iCs/>
          <w:color w:val="1F4E8B"/>
          <w:sz w:val="24"/>
          <w:szCs w:val="24"/>
        </w:rPr>
        <w:t xml:space="preserve">"El futuro de la educación radica en empoderar a los aprendices para abrazar y desarrollar sus cualidades únicamente humanas —aquellas que son improbables que alguna vez sean reemplazadas por la tecnología."</w:t>
      </w:r>
    </w:p>
    <w:p>
      <w:pPr>
        <w:spacing w:after="80" w:before="80" w:line="280"/>
        <w:jc w:val="both"/>
      </w:pPr>
      <w:r>
        <w:rPr>
          <w:rFonts w:ascii="Arial" w:cs="Arial" w:eastAsia="Arial" w:hAnsi="Arial"/>
          <w:color w:val="4A5568"/>
          <w:sz w:val="22"/>
          <w:szCs w:val="22"/>
        </w:rPr>
        <w:t xml:space="preserve">La taxonomía se estructura en tres aptitudes: habilidades cognitivas e interpersonales, actitudes y valores, y conocimientos. Las habilidades digitales y de programación forman parte explícita de las competencias cognitivas, junto con el pensamiento crítico y la creatividad.</w:t>
      </w:r>
    </w:p>
    <w:p>
      <w:pPr>
        <w:spacing w:after="80" w:before="80" w:line="280"/>
        <w:jc w:val="both"/>
      </w:pPr>
      <w:r>
        <w:rPr>
          <w:rFonts w:ascii="Arial" w:cs="Arial" w:eastAsia="Arial" w:hAnsi="Arial"/>
          <w:color w:val="4A5568"/>
          <w:sz w:val="22"/>
          <w:szCs w:val="22"/>
        </w:rPr>
        <w:t xml:space="preserve">La Reskilling Revolution del WEF tiene como meta formar a 1,000 millones de personas con mejores educación, habilidades y oportunidades económicas para 2030. Esta ambición global encuentra su correlato institucional en el mandato de la EEJ.</w:t>
      </w:r>
    </w:p>
    <w:p>
      <w:pPr>
        <w:spacing w:after="80" w:before="40"/>
        <w:jc w:val="both"/>
      </w:pPr>
      <w:r>
        <w:rPr>
          <w:rFonts w:ascii="Arial" w:cs="Arial" w:eastAsia="Arial" w:hAnsi="Arial"/>
          <w:i/>
          <w:iCs/>
          <w:color w:val="888888"/>
          <w:sz w:val="18"/>
          <w:szCs w:val="18"/>
        </w:rPr>
        <w:t xml:space="preserve">📌 Fuente: WEF. New Vision for Education: Unlocking the Potential of Technology. 2015. / WEF. Defining Education 4.0: A Taxonomy for the Future of Learning. 2023. / WEF. Catalysing Education 4.0. 2022.</w:t>
      </w:r>
    </w:p>
    <w:p>
      <w:pPr>
        <w:pStyle w:val="Heading3"/>
        <w:spacing w:after="120" w:before="240"/>
      </w:pPr>
      <w:r>
        <w:rPr>
          <w:rFonts w:ascii="Arial" w:cs="Arial" w:eastAsia="Arial" w:hAnsi="Arial"/>
          <w:b/>
          <w:bCs/>
          <w:color w:val="1A1A2E"/>
          <w:sz w:val="22"/>
          <w:szCs w:val="22"/>
        </w:rPr>
        <w:t xml:space="preserve">Formación andragógica y educación continua para servidores judiciales</w:t>
      </w:r>
    </w:p>
    <w:p>
      <w:pPr>
        <w:spacing w:after="80" w:before="80" w:line="280"/>
        <w:jc w:val="both"/>
      </w:pPr>
      <w:r>
        <w:rPr>
          <w:rFonts w:ascii="Arial" w:cs="Arial" w:eastAsia="Arial" w:hAnsi="Arial"/>
          <w:color w:val="4A5568"/>
          <w:sz w:val="22"/>
          <w:szCs w:val="22"/>
        </w:rPr>
        <w:t xml:space="preserve">Las Políticas EEJ 2026 ya integran este marco. La Política Educativa define explícitamente que los procesos formativos deben ser 'andragógicos, constructivistas y significativos'. En el contexto de la justicia digital, esto cobra especial relevancia: la actualización tecnológica no puede ser un evento único, sino un proceso continuo que acompaña la aceleración tecnológica.</w:t>
      </w:r>
    </w:p>
    <w:p>
      <w:pPr>
        <w:spacing w:after="80" w:before="80" w:line="280"/>
        <w:jc w:val="both"/>
      </w:pPr>
      <w:r>
        <w:rPr>
          <w:rFonts w:ascii="Arial" w:cs="Arial" w:eastAsia="Arial" w:hAnsi="Arial"/>
          <w:color w:val="4A5568"/>
          <w:sz w:val="22"/>
          <w:szCs w:val="22"/>
        </w:rPr>
        <w:t xml:space="preserve">El paradigma del 'aprendizaje a lo largo de toda la vida' (lifelong learning) —que el WEF identifica como habilidad en ascenso para 2030— es precisamente lo que el Eje Transversal de Tecnología de las Políticas EEJ 2026 operacionaliza institucionalmente.</w:t>
      </w:r>
    </w:p>
    <w:p>
      <w:r>
        <w:br w:type="page"/>
      </w:r>
    </w:p>
    <w:p>
      <w:pPr>
        <w:pStyle w:val="Heading1"/>
        <w:pBdr>
          <w:bottom w:val="single" w:color="1F4E8B" w:sz="6" w:space="4"/>
        </w:pBdr>
        <w:spacing w:after="200" w:before="400"/>
      </w:pPr>
      <w:r>
        <w:rPr>
          <w:rFonts w:ascii="Arial" w:cs="Arial" w:eastAsia="Arial" w:hAnsi="Arial"/>
          <w:b/>
          <w:bCs/>
          <w:color w:val="1F4E8B"/>
          <w:sz w:val="32"/>
          <w:szCs w:val="32"/>
        </w:rPr>
        <w:t xml:space="preserve">EJE V — IA EN LA JUSTICIA GLOBAL</w:t>
      </w:r>
    </w:p>
    <w:p>
      <w:pPr>
        <w:pStyle w:val="Heading2"/>
        <w:spacing w:after="140" w:before="320"/>
      </w:pPr>
      <w:r>
        <w:rPr>
          <w:rFonts w:ascii="Arial" w:cs="Arial" w:eastAsia="Arial" w:hAnsi="Arial"/>
          <w:b/>
          <w:bCs/>
          <w:color w:val="2E86AB"/>
          <w:sz w:val="26"/>
          <w:szCs w:val="26"/>
        </w:rPr>
        <w:t xml:space="preserve">Oportunidades, Riesgos y el Marco de Supervisión Humana</w:t>
      </w:r>
    </w:p>
    <w:p>
      <w:pPr>
        <w:spacing w:after="80" w:before="80" w:line="280"/>
        <w:jc w:val="both"/>
      </w:pPr>
      <w:r>
        <w:rPr>
          <w:rFonts w:ascii="Arial" w:cs="Arial" w:eastAsia="Arial" w:hAnsi="Arial"/>
          <w:color w:val="4A5568"/>
          <w:sz w:val="22"/>
          <w:szCs w:val="22"/>
        </w:rPr>
        <w:t xml:space="preserve">Este eje sintetiza el núcleo técnico de la justificación del curso: no basta con saber que la IA existe —los servidores judiciales deben comprender qué puede hacer, qué riesgos genera y cuál es el marco ético y normativo que rige su uso en la justicia.</w:t>
      </w:r>
    </w:p>
    <w:p>
      <w:pPr>
        <w:pStyle w:val="Heading3"/>
        <w:spacing w:after="120" w:before="240"/>
      </w:pPr>
      <w:r>
        <w:rPr>
          <w:rFonts w:ascii="Arial" w:cs="Arial" w:eastAsia="Arial" w:hAnsi="Arial"/>
          <w:b/>
          <w:bCs/>
          <w:color w:val="1A1A2E"/>
          <w:sz w:val="22"/>
          <w:szCs w:val="22"/>
        </w:rPr>
        <w:t xml:space="preserve">Los Principios UNESCO para IA en Tribunales (2025)</w:t>
      </w:r>
    </w:p>
    <w:p>
      <w:pPr>
        <w:spacing w:after="80" w:before="80" w:line="280"/>
        <w:jc w:val="both"/>
      </w:pPr>
      <w:r>
        <w:rPr>
          <w:rFonts w:ascii="Arial" w:cs="Arial" w:eastAsia="Arial" w:hAnsi="Arial"/>
          <w:color w:val="4A5568"/>
          <w:sz w:val="22"/>
          <w:szCs w:val="22"/>
        </w:rPr>
        <w:t xml:space="preserve">En diciembre de 2025, UNESCO lanzó formalmente en Londres las 'Guidelines for the Use of AI Systems in Courts and Tribunals', desarrolladas con más de 100 contribuciones de 41 países. Es el primer marco normativo internacional específicamente diseñado para el poder judicial. Sus 15 principios abordan seguridad de la información, auditabilidad y supervisión humana en la toma de decisiones.</w:t>
      </w:r>
    </w:p>
    <w:p>
      <w:pPr>
        <w:spacing w:after="80" w:before="80" w:line="280"/>
        <w:jc w:val="both"/>
      </w:pPr>
      <w:r>
        <w:rPr>
          <w:rFonts w:ascii="Arial" w:cs="Arial" w:eastAsia="Arial" w:hAnsi="Arial"/>
          <w:color w:val="4A5568"/>
          <w:sz w:val="22"/>
          <w:szCs w:val="22"/>
        </w:rPr>
        <w:t xml:space="preserve">El documento identifica que países como Argentina, Australia, Brasil, Canadá, Colombia, Nueva Zelanda, Singapur, el Reino Unido y EE.UU. ya han publicado principios o directrices para el uso ético de IA en sus sistemas judiciales. Guatemala tiene ahora —con las Políticas EEJ 2026— un marco institucional equivalente, siendo pionera en la región centroamericana.</w:t>
      </w:r>
    </w:p>
    <w:p>
      <w:pPr>
        <w:spacing w:after="80" w:before="40"/>
        <w:jc w:val="both"/>
      </w:pPr>
      <w:r>
        <w:rPr>
          <w:rFonts w:ascii="Arial" w:cs="Arial" w:eastAsia="Arial" w:hAnsi="Arial"/>
          <w:i/>
          <w:iCs/>
          <w:color w:val="888888"/>
          <w:sz w:val="18"/>
          <w:szCs w:val="18"/>
        </w:rPr>
        <w:t xml:space="preserve">📌 Fuente: UNESCO. Draft Guidelines for the Use of AI Systems in Courts and Tribunals. Lanzadas en The Athens Roundtable on AI and the Rule of Law, Londres, diciembre 2025.</w:t>
      </w:r>
    </w:p>
    <w:p>
      <w:pPr>
        <w:pStyle w:val="Heading3"/>
        <w:spacing w:after="120" w:before="240"/>
      </w:pPr>
      <w:r>
        <w:rPr>
          <w:rFonts w:ascii="Arial" w:cs="Arial" w:eastAsia="Arial" w:hAnsi="Arial"/>
          <w:b/>
          <w:bCs/>
          <w:color w:val="1A1A2E"/>
          <w:sz w:val="22"/>
          <w:szCs w:val="22"/>
        </w:rPr>
        <w:t xml:space="preserve">El marco de supervisión humana: Human-in-the-Loop, Human-on-the-Loop y Human-in-Command</w:t>
      </w:r>
    </w:p>
    <w:p>
      <w:pPr>
        <w:spacing w:after="80" w:before="80" w:line="280"/>
        <w:jc w:val="both"/>
      </w:pPr>
      <w:r>
        <w:rPr>
          <w:rFonts w:ascii="Arial" w:cs="Arial" w:eastAsia="Arial" w:hAnsi="Arial"/>
          <w:color w:val="4A5568"/>
          <w:sz w:val="22"/>
          <w:szCs w:val="22"/>
        </w:rPr>
        <w:t xml:space="preserve">Las Políticas EEJ 2026 incorporan explícitamente los tres modelos de supervisión humana de sistemas automatizados, tomados de la literatura internacional en gobernanza de IA:</w:t>
      </w:r>
    </w:p>
    <w:p>
      <w:pPr>
        <w:pStyle w:val="ListParagraph"/>
        <w:numPr>
          <w:ilvl w:val="0"/>
          <w:numId w:val="2"/>
        </w:numPr>
        <w:spacing w:after="60" w:before="60"/>
      </w:pPr>
      <w:r>
        <w:rPr>
          <w:rFonts w:ascii="Arial" w:cs="Arial" w:eastAsia="Arial" w:hAnsi="Arial"/>
          <w:color w:val="4A5568"/>
          <w:sz w:val="22"/>
          <w:szCs w:val="22"/>
        </w:rPr>
        <w:t xml:space="preserve">Human-in-the-Loop (HITL): Intervención humana activa en cada decisión del sistema. El humano aprueba o rechaza cada salida del algoritmo. Aplicable a sistemas de apoyo a la redacción de resoluciones.</w:t>
      </w:r>
    </w:p>
    <w:p>
      <w:pPr>
        <w:pStyle w:val="ListParagraph"/>
        <w:numPr>
          <w:ilvl w:val="0"/>
          <w:numId w:val="2"/>
        </w:numPr>
        <w:spacing w:after="60" w:before="60"/>
      </w:pPr>
      <w:r>
        <w:rPr>
          <w:rFonts w:ascii="Arial" w:cs="Arial" w:eastAsia="Arial" w:hAnsi="Arial"/>
          <w:color w:val="4A5568"/>
          <w:sz w:val="22"/>
          <w:szCs w:val="22"/>
        </w:rPr>
        <w:t xml:space="preserve">Human-on-the-Loop (HOTL): Supervisión y monitoreo con capacidad de revertir resultados. El sistema actúa con mayor autonomía pero bajo vigilancia humana continua.</w:t>
      </w:r>
    </w:p>
    <w:p>
      <w:pPr>
        <w:pStyle w:val="ListParagraph"/>
        <w:numPr>
          <w:ilvl w:val="0"/>
          <w:numId w:val="2"/>
        </w:numPr>
        <w:spacing w:after="60" w:before="60"/>
      </w:pPr>
      <w:r>
        <w:rPr>
          <w:rFonts w:ascii="Arial" w:cs="Arial" w:eastAsia="Arial" w:hAnsi="Arial"/>
          <w:color w:val="4A5568"/>
          <w:sz w:val="22"/>
          <w:szCs w:val="22"/>
        </w:rPr>
        <w:t xml:space="preserve">Human-in-Command (HIC): Autoridad total para decidir cuándo apagar o no utilizar el sistema. Garantía última de que ningún sistema automatizado opera fuera del control humano.</w:t>
      </w:r>
    </w:p>
    <w:p>
      <w:pPr>
        <w:spacing w:after="80" w:before="80" w:line="280"/>
        <w:jc w:val="both"/>
      </w:pPr>
      <w:r>
        <w:rPr>
          <w:rFonts w:ascii="Arial" w:cs="Arial" w:eastAsia="Arial" w:hAnsi="Arial"/>
          <w:color w:val="4A5568"/>
          <w:sz w:val="22"/>
          <w:szCs w:val="22"/>
        </w:rPr>
        <w:t xml:space="preserve">Esta arquitectura de supervisión no es decorativa: es la respuesta técnica al riesgo de 'sesgo de automatización' —la tendencia humana a confiar ciegamente en las recomendaciones de un sistema algorítmico— que la literatura científica identifica como el mayor riesgo de la IA en la toma de decisiones de alto impacto.</w:t>
      </w:r>
    </w:p>
    <w:p>
      <w:pPr>
        <w:spacing w:after="80" w:before="40"/>
        <w:jc w:val="both"/>
      </w:pPr>
      <w:r>
        <w:rPr>
          <w:rFonts w:ascii="Arial" w:cs="Arial" w:eastAsia="Arial" w:hAnsi="Arial"/>
          <w:i/>
          <w:iCs/>
          <w:color w:val="888888"/>
          <w:sz w:val="18"/>
          <w:szCs w:val="18"/>
        </w:rPr>
        <w:t xml:space="preserve">📌 Fuente: Políticas EEJ 2026, Política de Gobernanza de Tecnología e Inteligencia Artificial, pág. 22-23.</w:t>
      </w:r>
    </w:p>
    <w:p>
      <w:pPr>
        <w:pStyle w:val="Heading3"/>
        <w:spacing w:after="120" w:before="240"/>
      </w:pPr>
      <w:r>
        <w:rPr>
          <w:rFonts w:ascii="Arial" w:cs="Arial" w:eastAsia="Arial" w:hAnsi="Arial"/>
          <w:b/>
          <w:bCs/>
          <w:color w:val="1A1A2E"/>
          <w:sz w:val="22"/>
          <w:szCs w:val="22"/>
        </w:rPr>
        <w:t xml:space="preserve">Sesgo algorítmico: El riesgo más documentado en justicia</w:t>
      </w:r>
    </w:p>
    <w:p>
      <w:pPr>
        <w:spacing w:after="80" w:before="80" w:line="280"/>
        <w:jc w:val="both"/>
      </w:pPr>
      <w:r>
        <w:rPr>
          <w:rFonts w:ascii="Arial" w:cs="Arial" w:eastAsia="Arial" w:hAnsi="Arial"/>
          <w:color w:val="4A5568"/>
          <w:sz w:val="22"/>
          <w:szCs w:val="22"/>
        </w:rPr>
        <w:t xml:space="preserve">El caso COMPAS en EE.UU. es el ejemplo más citado a nivel global, pero no el único. La investigación académica de 2024-2025 documenta cinco tipos de sesgo algorítmico en sistemas de justicia:</w:t>
      </w:r>
    </w:p>
    <w:p>
      <w:pPr>
        <w:pStyle w:val="ListParagraph"/>
        <w:numPr>
          <w:ilvl w:val="0"/>
          <w:numId w:val="2"/>
        </w:numPr>
        <w:spacing w:after="60" w:before="60"/>
      </w:pPr>
      <w:r>
        <w:rPr>
          <w:rFonts w:ascii="Arial" w:cs="Arial" w:eastAsia="Arial" w:hAnsi="Arial"/>
          <w:color w:val="4A5568"/>
          <w:sz w:val="22"/>
          <w:szCs w:val="22"/>
        </w:rPr>
        <w:t xml:space="preserve">Sesgo por datos históricos: Cuando los datos de entrenamiento reflejan discriminaciones del pasado (racial, de género, socioeconómica), el sistema los perpetúa y amplifica.</w:t>
      </w:r>
    </w:p>
    <w:p>
      <w:pPr>
        <w:pStyle w:val="ListParagraph"/>
        <w:numPr>
          <w:ilvl w:val="0"/>
          <w:numId w:val="2"/>
        </w:numPr>
        <w:spacing w:after="60" w:before="60"/>
      </w:pPr>
      <w:r>
        <w:rPr>
          <w:rFonts w:ascii="Arial" w:cs="Arial" w:eastAsia="Arial" w:hAnsi="Arial"/>
          <w:color w:val="4A5568"/>
          <w:sz w:val="22"/>
          <w:szCs w:val="22"/>
        </w:rPr>
        <w:t xml:space="preserve">Sesgo por selección de variables: La elección de qué factores considera el algoritmo puede introducir discriminación proxy, aunque ninguna variable sea explícitamente protegida.</w:t>
      </w:r>
    </w:p>
    <w:p>
      <w:pPr>
        <w:pStyle w:val="ListParagraph"/>
        <w:numPr>
          <w:ilvl w:val="0"/>
          <w:numId w:val="2"/>
        </w:numPr>
        <w:spacing w:after="60" w:before="60"/>
      </w:pPr>
      <w:r>
        <w:rPr>
          <w:rFonts w:ascii="Arial" w:cs="Arial" w:eastAsia="Arial" w:hAnsi="Arial"/>
          <w:color w:val="4A5568"/>
          <w:sz w:val="22"/>
          <w:szCs w:val="22"/>
        </w:rPr>
        <w:t xml:space="preserve">Impacto disparado: Incluso algoritmos diseñados sin discriminación intencional pueden producir resultados desproporcionadamente negativos para grupos históricamente marginalizados.</w:t>
      </w:r>
    </w:p>
    <w:p>
      <w:pPr>
        <w:pStyle w:val="ListParagraph"/>
        <w:numPr>
          <w:ilvl w:val="0"/>
          <w:numId w:val="2"/>
        </w:numPr>
        <w:spacing w:after="60" w:before="60"/>
      </w:pPr>
      <w:r>
        <w:rPr>
          <w:rFonts w:ascii="Arial" w:cs="Arial" w:eastAsia="Arial" w:hAnsi="Arial"/>
          <w:color w:val="4A5568"/>
          <w:sz w:val="22"/>
          <w:szCs w:val="22"/>
        </w:rPr>
        <w:t xml:space="preserve">Caja negra y opacidad: La mayoría de sistemas comerciales no revelan su lógica interna, impidiendo su auditoría y la posibilidad de impugnar sus resultados.</w:t>
      </w:r>
    </w:p>
    <w:p>
      <w:pPr>
        <w:pStyle w:val="ListParagraph"/>
        <w:numPr>
          <w:ilvl w:val="0"/>
          <w:numId w:val="2"/>
        </w:numPr>
        <w:spacing w:after="60" w:before="60"/>
      </w:pPr>
      <w:r>
        <w:rPr>
          <w:rFonts w:ascii="Arial" w:cs="Arial" w:eastAsia="Arial" w:hAnsi="Arial"/>
          <w:color w:val="4A5568"/>
          <w:sz w:val="22"/>
          <w:szCs w:val="22"/>
        </w:rPr>
        <w:t xml:space="preserve">Alucinaciones en documentos jurídicos: LLMs que generan citas de casos, leyes o precedentes inexistentes, utilizados por abogados sin verificación.</w:t>
      </w:r>
    </w:p>
    <w:p>
      <w:pPr>
        <w:spacing w:after="80" w:before="80" w:line="280"/>
        <w:jc w:val="both"/>
      </w:pPr>
      <w:r>
        <w:rPr>
          <w:rFonts w:ascii="Arial" w:cs="Arial" w:eastAsia="Arial" w:hAnsi="Arial"/>
          <w:color w:val="4A5568"/>
          <w:sz w:val="22"/>
          <w:szCs w:val="22"/>
        </w:rPr>
        <w:t xml:space="preserve">Para el servidor judicial guatemalteco, la comprensión de estos riesgos no es optativa: es una obligación deontológica derivada del principio de legalidad y del debido proceso.</w:t>
      </w:r>
    </w:p>
    <w:p>
      <w:pPr>
        <w:spacing w:after="80" w:before="40"/>
        <w:jc w:val="both"/>
      </w:pPr>
      <w:r>
        <w:rPr>
          <w:rFonts w:ascii="Arial" w:cs="Arial" w:eastAsia="Arial" w:hAnsi="Arial"/>
          <w:i/>
          <w:iCs/>
          <w:color w:val="888888"/>
          <w:sz w:val="18"/>
          <w:szCs w:val="18"/>
        </w:rPr>
        <w:t xml:space="preserve">📌 Fuente: IBM. What Is Algorithmic Bias? 2025. / Frontiers in AI. Algorithmic Discrimination: Types and Regulatory Measures. 2024. / Super Lawyers. Avoiding Algorithmic Bias: Top 5 AI Liability Issues in Courts. Diciembre 2025.</w:t>
      </w:r>
    </w:p>
    <w:p>
      <w:r>
        <w:br w:type="page"/>
      </w:r>
    </w:p>
    <w:p>
      <w:pPr>
        <w:pStyle w:val="Heading1"/>
        <w:pBdr>
          <w:bottom w:val="single" w:color="1F4E8B" w:sz="6" w:space="4"/>
        </w:pBdr>
        <w:spacing w:after="200" w:before="400"/>
      </w:pPr>
      <w:r>
        <w:rPr>
          <w:rFonts w:ascii="Arial" w:cs="Arial" w:eastAsia="Arial" w:hAnsi="Arial"/>
          <w:b/>
          <w:bCs/>
          <w:color w:val="1F4E8B"/>
          <w:sz w:val="32"/>
          <w:szCs w:val="32"/>
        </w:rPr>
        <w:t xml:space="preserve">EJE VI — CIUDADANÍA 4.0 Y ACCESO A LA JUSTICIA</w:t>
      </w:r>
    </w:p>
    <w:p>
      <w:pPr>
        <w:pStyle w:val="Heading2"/>
        <w:spacing w:after="140" w:before="320"/>
      </w:pPr>
      <w:r>
        <w:rPr>
          <w:rFonts w:ascii="Arial" w:cs="Arial" w:eastAsia="Arial" w:hAnsi="Arial"/>
          <w:b/>
          <w:bCs/>
          <w:color w:val="2E86AB"/>
          <w:sz w:val="26"/>
          <w:szCs w:val="26"/>
        </w:rPr>
        <w:t xml:space="preserve">El nuevo rostro del justiciable en la era digital</w:t>
      </w:r>
    </w:p>
    <w:p>
      <w:pPr>
        <w:spacing w:after="80" w:before="80" w:line="280"/>
        <w:jc w:val="both"/>
      </w:pPr>
      <w:r>
        <w:rPr>
          <w:rFonts w:ascii="Arial" w:cs="Arial" w:eastAsia="Arial" w:hAnsi="Arial"/>
          <w:color w:val="4A5568"/>
          <w:sz w:val="22"/>
          <w:szCs w:val="22"/>
        </w:rPr>
        <w:t xml:space="preserve">El Organismo Judicial no atiende a usuarios abstractos: atiende a ciudadanas y ciudadanos guatemaltecos que viven cada vez más en un entorno digital, que ejercen derechos y acceden a servicios a través de plataformas tecnológicas, y que —cada vez más— interactúan con sistemas automatizados en su relación con el Estado.</w:t>
      </w:r>
    </w:p>
    <w:p>
      <w:pPr>
        <w:pStyle w:val="Heading3"/>
        <w:spacing w:after="120" w:before="240"/>
      </w:pPr>
      <w:r>
        <w:rPr>
          <w:rFonts w:ascii="Arial" w:cs="Arial" w:eastAsia="Arial" w:hAnsi="Arial"/>
          <w:b/>
          <w:bCs/>
          <w:color w:val="1A1A2E"/>
          <w:sz w:val="22"/>
          <w:szCs w:val="22"/>
        </w:rPr>
        <w:t xml:space="preserve">Ciudadanía digital: definición y dimensiones</w:t>
      </w:r>
    </w:p>
    <w:p>
      <w:pPr>
        <w:spacing w:after="80" w:before="80" w:line="280"/>
        <w:jc w:val="both"/>
      </w:pPr>
      <w:r>
        <w:rPr>
          <w:rFonts w:ascii="Arial" w:cs="Arial" w:eastAsia="Arial" w:hAnsi="Arial"/>
          <w:color w:val="4A5568"/>
          <w:sz w:val="22"/>
          <w:szCs w:val="22"/>
        </w:rPr>
        <w:t xml:space="preserve">La UNESCO define la ciudadanía digital como el conjunto de competencias que facultan a la ciudadanía a acceder, recuperar, comprender, evaluar y utilizar información con fines creativos. Pero en el contexto de los sistemas de justicia, la ciudadanía digital tiene tres dimensiones críticas:</w:t>
      </w:r>
    </w:p>
    <w:p>
      <w:pPr>
        <w:pStyle w:val="ListParagraph"/>
        <w:numPr>
          <w:ilvl w:val="0"/>
          <w:numId w:val="2"/>
        </w:numPr>
        <w:spacing w:after="60" w:before="60"/>
      </w:pPr>
      <w:r>
        <w:rPr>
          <w:rFonts w:ascii="Arial" w:cs="Arial" w:eastAsia="Arial" w:hAnsi="Arial"/>
          <w:color w:val="4A5568"/>
          <w:sz w:val="22"/>
          <w:szCs w:val="22"/>
        </w:rPr>
        <w:t xml:space="preserve">Dimensión del acceso: El derecho a acceder a la justicia incluye ahora el acceso a plataformas digitales de denuncia, consulta de expedientes, audiencias virtuales y servicios en línea. La brecha digital es directamente una brecha de acceso a la justicia.</w:t>
      </w:r>
    </w:p>
    <w:p>
      <w:pPr>
        <w:pStyle w:val="ListParagraph"/>
        <w:numPr>
          <w:ilvl w:val="0"/>
          <w:numId w:val="2"/>
        </w:numPr>
        <w:spacing w:after="60" w:before="60"/>
      </w:pPr>
      <w:r>
        <w:rPr>
          <w:rFonts w:ascii="Arial" w:cs="Arial" w:eastAsia="Arial" w:hAnsi="Arial"/>
          <w:color w:val="4A5568"/>
          <w:sz w:val="22"/>
          <w:szCs w:val="22"/>
        </w:rPr>
        <w:t xml:space="preserve">Dimensión de la comprensión: Un justiciable que interactúa con sistemas de notificación automatizada, portales de transparencia o herramientas de IA en su proceso debe poder comprender qué está pasando con su caso.</w:t>
      </w:r>
    </w:p>
    <w:p>
      <w:pPr>
        <w:pStyle w:val="ListParagraph"/>
        <w:numPr>
          <w:ilvl w:val="0"/>
          <w:numId w:val="2"/>
        </w:numPr>
        <w:spacing w:after="60" w:before="60"/>
      </w:pPr>
      <w:r>
        <w:rPr>
          <w:rFonts w:ascii="Arial" w:cs="Arial" w:eastAsia="Arial" w:hAnsi="Arial"/>
          <w:color w:val="4A5568"/>
          <w:sz w:val="22"/>
          <w:szCs w:val="22"/>
        </w:rPr>
        <w:t xml:space="preserve">Dimensión de la participación: La democracia judicial —entendida como la participación informada de la ciudadanía en la fiscalización del sistema de justicia— requiere competencias digitales para acceder y analizar información pública.</w:t>
      </w:r>
    </w:p>
    <w:p>
      <w:pPr>
        <w:spacing w:after="80" w:before="80" w:line="280"/>
        <w:jc w:val="both"/>
      </w:pPr>
      <w:r>
        <w:rPr>
          <w:rFonts w:ascii="Arial" w:cs="Arial" w:eastAsia="Arial" w:hAnsi="Arial"/>
          <w:color w:val="4A5568"/>
          <w:sz w:val="22"/>
          <w:szCs w:val="22"/>
        </w:rPr>
        <w:t xml:space="preserve">El Consejo de Europa declaró 2025 como el 'Año Europeo de la Educación para la Ciudadanía Digital', con el respaldo de 46 ministros de Educación. La Declaración Europea sobre Derechos y Principios Digitales establece que la transformación tecnológica debe situar a las personas en el centro y garantizar que la digitalización respete su dignidad y libertades —principio que las Políticas EEJ 2026 trasladan al sistema judicial guatemalteco.</w:t>
      </w:r>
    </w:p>
    <w:p>
      <w:pPr>
        <w:spacing w:after="80" w:before="40"/>
        <w:jc w:val="both"/>
      </w:pPr>
      <w:r>
        <w:rPr>
          <w:rFonts w:ascii="Arial" w:cs="Arial" w:eastAsia="Arial" w:hAnsi="Arial"/>
          <w:i/>
          <w:iCs/>
          <w:color w:val="888888"/>
          <w:sz w:val="18"/>
          <w:szCs w:val="18"/>
        </w:rPr>
        <w:t xml:space="preserve">📌 Fuente: UNESCO. Digital Citizenship Framework. / Consejo de Europa. Año Europeo de la Educación para la Ciudadanía Digital 2025. / Políticas EEJ 2026, Política de Innovación Basada en Datos y Justicia Abierta.</w:t>
      </w:r>
    </w:p>
    <w:p>
      <w:pPr>
        <w:pStyle w:val="Heading3"/>
        <w:spacing w:after="120" w:before="240"/>
      </w:pPr>
      <w:r>
        <w:rPr>
          <w:rFonts w:ascii="Arial" w:cs="Arial" w:eastAsia="Arial" w:hAnsi="Arial"/>
          <w:b/>
          <w:bCs/>
          <w:color w:val="1A1A2E"/>
          <w:sz w:val="22"/>
          <w:szCs w:val="22"/>
        </w:rPr>
        <w:t xml:space="preserve">Justicia Abierta: De la opacidad a la transparencia proactiva</w:t>
      </w:r>
    </w:p>
    <w:p>
      <w:pPr>
        <w:spacing w:after="80" w:before="80" w:line="280"/>
        <w:jc w:val="both"/>
      </w:pPr>
      <w:r>
        <w:rPr>
          <w:rFonts w:ascii="Arial" w:cs="Arial" w:eastAsia="Arial" w:hAnsi="Arial"/>
          <w:color w:val="4A5568"/>
          <w:sz w:val="22"/>
          <w:szCs w:val="22"/>
        </w:rPr>
        <w:t xml:space="preserve">La Política de Innovación Basada en Datos y Justicia Abierta de las Políticas EEJ 2026 establece que 'los datos judiciales son un activo estratégico del Estado'. Este principio conecta directamente con el movimiento global de Open Justice, que propone:</w:t>
      </w:r>
    </w:p>
    <w:p>
      <w:pPr>
        <w:pStyle w:val="ListParagraph"/>
        <w:numPr>
          <w:ilvl w:val="0"/>
          <w:numId w:val="2"/>
        </w:numPr>
        <w:spacing w:after="60" w:before="60"/>
      </w:pPr>
      <w:r>
        <w:rPr>
          <w:rFonts w:ascii="Arial" w:cs="Arial" w:eastAsia="Arial" w:hAnsi="Arial"/>
          <w:color w:val="4A5568"/>
          <w:sz w:val="22"/>
          <w:szCs w:val="22"/>
        </w:rPr>
        <w:t xml:space="preserve">Publicación proactiva de estadísticas judiciales en formatos abiertos y reutilizables.</w:t>
      </w:r>
    </w:p>
    <w:p>
      <w:pPr>
        <w:pStyle w:val="ListParagraph"/>
        <w:numPr>
          <w:ilvl w:val="0"/>
          <w:numId w:val="2"/>
        </w:numPr>
        <w:spacing w:after="60" w:before="60"/>
      </w:pPr>
      <w:r>
        <w:rPr>
          <w:rFonts w:ascii="Arial" w:cs="Arial" w:eastAsia="Arial" w:hAnsi="Arial"/>
          <w:color w:val="4A5568"/>
          <w:sz w:val="22"/>
          <w:szCs w:val="22"/>
        </w:rPr>
        <w:t xml:space="preserve">Transparencia algorítmica: cuando se usen sistemas automatizados en procesos judiciales, la ciudadanía tiene derecho a saber que están siendo utilizados.</w:t>
      </w:r>
    </w:p>
    <w:p>
      <w:pPr>
        <w:pStyle w:val="ListParagraph"/>
        <w:numPr>
          <w:ilvl w:val="0"/>
          <w:numId w:val="2"/>
        </w:numPr>
        <w:spacing w:after="60" w:before="60"/>
      </w:pPr>
      <w:r>
        <w:rPr>
          <w:rFonts w:ascii="Arial" w:cs="Arial" w:eastAsia="Arial" w:hAnsi="Arial"/>
          <w:color w:val="4A5568"/>
          <w:sz w:val="22"/>
          <w:szCs w:val="22"/>
        </w:rPr>
        <w:t xml:space="preserve">Tableros de control institucional que permitan a la sociedad civil y a órganos de supervisión monitorear el desempeño del sistema de justicia en tiempo real.</w:t>
      </w:r>
    </w:p>
    <w:p>
      <w:pPr>
        <w:spacing w:after="80" w:before="80" w:line="280"/>
        <w:jc w:val="both"/>
      </w:pPr>
      <w:r>
        <w:rPr>
          <w:rFonts w:ascii="Arial" w:cs="Arial" w:eastAsia="Arial" w:hAnsi="Arial"/>
          <w:color w:val="4A5568"/>
          <w:sz w:val="22"/>
          <w:szCs w:val="22"/>
        </w:rPr>
        <w:t xml:space="preserve">Para el servidor judicial, comprender la Justicia Abierta no es solo una instrucción institucional: es el reconocimiento de que la tecnología puede ser la herramienta más poderosa para reconstruir la confianza ciudadana en el sistema de justicia —si se usa con criterio, ética y transparencia.</w:t>
      </w:r>
    </w:p>
    <w:p>
      <w:r>
        <w:br w:type="page"/>
      </w:r>
    </w:p>
    <w:p>
      <w:pPr>
        <w:pStyle w:val="Heading1"/>
        <w:pBdr>
          <w:bottom w:val="single" w:color="1F4E8B" w:sz="6" w:space="4"/>
        </w:pBdr>
        <w:spacing w:after="200" w:before="400"/>
      </w:pPr>
      <w:r>
        <w:rPr>
          <w:rFonts w:ascii="Arial" w:cs="Arial" w:eastAsia="Arial" w:hAnsi="Arial"/>
          <w:b/>
          <w:bCs/>
          <w:color w:val="1F4E8B"/>
          <w:sz w:val="32"/>
          <w:szCs w:val="32"/>
        </w:rPr>
        <w:t xml:space="preserve">EJE VII — EL MANDATO GUATEMALTECO</w:t>
      </w:r>
    </w:p>
    <w:p>
      <w:pPr>
        <w:pStyle w:val="Heading2"/>
        <w:spacing w:after="140" w:before="320"/>
      </w:pPr>
      <w:r>
        <w:rPr>
          <w:rFonts w:ascii="Arial" w:cs="Arial" w:eastAsia="Arial" w:hAnsi="Arial"/>
          <w:b/>
          <w:bCs/>
          <w:color w:val="2E86AB"/>
          <w:sz w:val="26"/>
          <w:szCs w:val="26"/>
        </w:rPr>
        <w:t xml:space="preserve">Las Políticas EEJ 2026 como Respuesta Institucional Estructurada</w:t>
      </w:r>
    </w:p>
    <w:p>
      <w:pPr>
        <w:spacing w:after="80" w:before="80" w:line="280"/>
        <w:jc w:val="both"/>
      </w:pPr>
      <w:r>
        <w:rPr>
          <w:rFonts w:ascii="Arial" w:cs="Arial" w:eastAsia="Arial" w:hAnsi="Arial"/>
          <w:color w:val="4A5568"/>
          <w:sz w:val="22"/>
          <w:szCs w:val="22"/>
        </w:rPr>
        <w:t xml:space="preserve">Todo lo que los Ejes anteriores documentan a nivel global y regional tiene su respuesta institucional concreta en las Políticas de la Escuela de Estudios Judiciales 2026. Este eje muestra por qué estas políticas no son un documento burocrático más —son una de las respuestas institucionales más avanzadas de América Central a los desafíos de la era de la IA.</w:t>
      </w:r>
    </w:p>
    <w:p>
      <w:pPr>
        <w:pStyle w:val="Heading3"/>
        <w:spacing w:after="120" w:before="240"/>
      </w:pPr>
      <w:r>
        <w:rPr>
          <w:rFonts w:ascii="Arial" w:cs="Arial" w:eastAsia="Arial" w:hAnsi="Arial"/>
          <w:b/>
          <w:bCs/>
          <w:color w:val="1A1A2E"/>
          <w:sz w:val="22"/>
          <w:szCs w:val="22"/>
        </w:rPr>
        <w:t xml:space="preserve">La trayectoria institucional: Una innovación con legitimidad construida</w:t>
      </w:r>
    </w:p>
    <w:p>
      <w:pPr>
        <w:spacing w:after="80" w:before="80" w:line="280"/>
        <w:jc w:val="both"/>
      </w:pPr>
      <w:r>
        <w:rPr>
          <w:rFonts w:ascii="Arial" w:cs="Arial" w:eastAsia="Arial" w:hAnsi="Arial"/>
          <w:color w:val="4A5568"/>
          <w:sz w:val="22"/>
          <w:szCs w:val="22"/>
        </w:rPr>
        <w:t xml:space="preserve">La incorporación del Eje Transversal de Tecnología a las Políticas EEJ no fue un acto unilateral: fue el resultado de un proceso de construcción de consenso institucional que le otorga una legitimidad poco común en América Latina:</w:t>
      </w:r>
    </w:p>
    <w:p>
      <w:pPr>
        <w:pStyle w:val="ListParagraph"/>
        <w:numPr>
          <w:ilvl w:val="0"/>
          <w:numId w:val="2"/>
        </w:numPr>
        <w:spacing w:after="60" w:before="60"/>
      </w:pPr>
      <w:r>
        <w:rPr>
          <w:rFonts w:ascii="Arial" w:cs="Arial" w:eastAsia="Arial" w:hAnsi="Arial"/>
          <w:color w:val="4A5568"/>
          <w:sz w:val="22"/>
          <w:szCs w:val="22"/>
        </w:rPr>
        <w:t xml:space="preserve">2024: A solicitud de la Dirección, se inicia el proceso de revisión y actualización de las políticas institucionales, con énfasis en la incorporación de tecnología como eje transversal.</w:t>
      </w:r>
    </w:p>
    <w:p>
      <w:pPr>
        <w:pStyle w:val="ListParagraph"/>
        <w:numPr>
          <w:ilvl w:val="0"/>
          <w:numId w:val="2"/>
        </w:numPr>
        <w:spacing w:after="60" w:before="60"/>
      </w:pPr>
      <w:r>
        <w:rPr>
          <w:rFonts w:ascii="Arial" w:cs="Arial" w:eastAsia="Arial" w:hAnsi="Arial"/>
          <w:color w:val="4A5568"/>
          <w:sz w:val="22"/>
          <w:szCs w:val="22"/>
        </w:rPr>
        <w:t xml:space="preserve">2025: Las Políticas con el Eje Transversal de Tecnología son aprobadas por el Consejo de la Carrera Judicial (Oficio CCJ-SE-UA-678-2025/HEBA) y avaladas por la Honorable Corte Suprema de Justicia (Referencia 313 / Acta 25-2025/Acmd).</w:t>
      </w:r>
    </w:p>
    <w:p>
      <w:pPr>
        <w:pStyle w:val="ListParagraph"/>
        <w:numPr>
          <w:ilvl w:val="0"/>
          <w:numId w:val="2"/>
        </w:numPr>
        <w:spacing w:after="60" w:before="60"/>
      </w:pPr>
      <w:r>
        <w:rPr>
          <w:rFonts w:ascii="Arial" w:cs="Arial" w:eastAsia="Arial" w:hAnsi="Arial"/>
          <w:color w:val="4A5568"/>
          <w:sz w:val="22"/>
          <w:szCs w:val="22"/>
        </w:rPr>
        <w:t xml:space="preserve">2025: Se desarrollan las primeras propuestas académicas, desde actualización de backend/frontend con enfoque en IA para la Gerencia de Informática, hasta alfabetización de prompts para docentes y áreas administrativas.</w:t>
      </w:r>
    </w:p>
    <w:p>
      <w:pPr>
        <w:pStyle w:val="ListParagraph"/>
        <w:numPr>
          <w:ilvl w:val="0"/>
          <w:numId w:val="2"/>
        </w:numPr>
        <w:spacing w:after="60" w:before="60"/>
      </w:pPr>
      <w:r>
        <w:rPr>
          <w:rFonts w:ascii="Arial" w:cs="Arial" w:eastAsia="Arial" w:hAnsi="Arial"/>
          <w:color w:val="4A5568"/>
          <w:sz w:val="22"/>
          <w:szCs w:val="22"/>
        </w:rPr>
        <w:t xml:space="preserve">2026: Las Políticas son actualizadas nuevamente y aprobadas por el Consejo de la Carrera Judicial (Oficio CCJSEUA-106-2026), incorporando dos nuevas políticas sectoriales: Gobernanza de Tecnología e Inteligencia Artificial, y Política de Innovación Basada en Datos y Justicia Abierta.</w:t>
      </w:r>
    </w:p>
    <w:p>
      <w:pPr>
        <w:spacing w:after="80" w:before="40"/>
        <w:jc w:val="both"/>
      </w:pPr>
      <w:r>
        <w:rPr>
          <w:rFonts w:ascii="Arial" w:cs="Arial" w:eastAsia="Arial" w:hAnsi="Arial"/>
          <w:i/>
          <w:iCs/>
          <w:color w:val="888888"/>
          <w:sz w:val="18"/>
          <w:szCs w:val="18"/>
        </w:rPr>
        <w:t xml:space="preserve">📌 Fuente: Oficio CCJSEUA-106-2026: Se aprueban las Políticas de la Escuela de Estudios Judiciales. Consejo de la Carrera Judicial, 2026.</w:t>
      </w:r>
    </w:p>
    <w:p>
      <w:pPr>
        <w:pStyle w:val="Heading3"/>
        <w:spacing w:after="120" w:before="240"/>
      </w:pPr>
      <w:r>
        <w:rPr>
          <w:rFonts w:ascii="Arial" w:cs="Arial" w:eastAsia="Arial" w:hAnsi="Arial"/>
          <w:b/>
          <w:bCs/>
          <w:color w:val="1A1A2E"/>
          <w:sz w:val="22"/>
          <w:szCs w:val="22"/>
        </w:rPr>
        <w:t xml:space="preserve">Lo que hace únicas a las Políticas EEJ 2026</w:t>
      </w:r>
    </w:p>
    <w:p>
      <w:pPr>
        <w:spacing w:after="80" w:before="80" w:line="280"/>
        <w:jc w:val="both"/>
      </w:pPr>
      <w:r>
        <w:rPr>
          <w:rFonts w:ascii="Arial" w:cs="Arial" w:eastAsia="Arial" w:hAnsi="Arial"/>
          <w:color w:val="4A5568"/>
          <w:sz w:val="22"/>
          <w:szCs w:val="22"/>
        </w:rPr>
        <w:t xml:space="preserve">En el contexto latinoamericano y centroamericano, las Políticas EEJ 2026 representan un hito por las siguientes razones, documentadas en la comparativa internacional:</w:t>
      </w:r>
    </w:p>
    <w:p>
      <w:pPr>
        <w:pStyle w:val="ListParagraph"/>
        <w:numPr>
          <w:ilvl w:val="0"/>
          <w:numId w:val="2"/>
        </w:numPr>
        <w:spacing w:after="60" w:before="60"/>
      </w:pPr>
      <w:r>
        <w:rPr>
          <w:rFonts w:ascii="Arial" w:cs="Arial" w:eastAsia="Arial" w:hAnsi="Arial"/>
          <w:color w:val="4A5568"/>
          <w:sz w:val="22"/>
          <w:szCs w:val="22"/>
        </w:rPr>
        <w:t xml:space="preserve">Son el primer marco de gobernanza de IA aprobado formalmente por un órgano judicial centroamericano, con validación del más alto tribunal del país.</w:t>
      </w:r>
    </w:p>
    <w:p>
      <w:pPr>
        <w:pStyle w:val="ListParagraph"/>
        <w:numPr>
          <w:ilvl w:val="0"/>
          <w:numId w:val="2"/>
        </w:numPr>
        <w:spacing w:after="60" w:before="60"/>
      </w:pPr>
      <w:r>
        <w:rPr>
          <w:rFonts w:ascii="Arial" w:cs="Arial" w:eastAsia="Arial" w:hAnsi="Arial"/>
          <w:color w:val="4A5568"/>
          <w:sz w:val="22"/>
          <w:szCs w:val="22"/>
        </w:rPr>
        <w:t xml:space="preserve">Incorporan explícitamente los conceptos más avanzados del derecho tecnológico global: soberanía cognitiva, Human-in-the-Loop, sandbox regulatorio, GovTech, gestión de datos como activo estratégico.</w:t>
      </w:r>
    </w:p>
    <w:p>
      <w:pPr>
        <w:pStyle w:val="ListParagraph"/>
        <w:numPr>
          <w:ilvl w:val="0"/>
          <w:numId w:val="2"/>
        </w:numPr>
        <w:spacing w:after="60" w:before="60"/>
      </w:pPr>
      <w:r>
        <w:rPr>
          <w:rFonts w:ascii="Arial" w:cs="Arial" w:eastAsia="Arial" w:hAnsi="Arial"/>
          <w:color w:val="4A5568"/>
          <w:sz w:val="22"/>
          <w:szCs w:val="22"/>
        </w:rPr>
        <w:t xml:space="preserve">Establecen estructuras operativas concretas: el Centro de Innovación Jurídico-Tecnológico (CIJT), la Mesa Técnica de Aceleración e Innovación Judicial y la Factoría de Datos Judiciales.</w:t>
      </w:r>
    </w:p>
    <w:p>
      <w:pPr>
        <w:pStyle w:val="ListParagraph"/>
        <w:numPr>
          <w:ilvl w:val="0"/>
          <w:numId w:val="2"/>
        </w:numPr>
        <w:spacing w:after="60" w:before="60"/>
      </w:pPr>
      <w:r>
        <w:rPr>
          <w:rFonts w:ascii="Arial" w:cs="Arial" w:eastAsia="Arial" w:hAnsi="Arial"/>
          <w:color w:val="4A5568"/>
          <w:sz w:val="22"/>
          <w:szCs w:val="22"/>
        </w:rPr>
        <w:t xml:space="preserve">Definen un modelo incremental de implementación, reconociendo que la transformación digital no puede ser ni un proceso de shock ni un proceso de simulación.</w:t>
      </w:r>
    </w:p>
    <w:p>
      <w:pPr>
        <w:pStyle w:val="Heading3"/>
        <w:spacing w:after="120" w:before="240"/>
      </w:pPr>
      <w:r>
        <w:rPr>
          <w:rFonts w:ascii="Arial" w:cs="Arial" w:eastAsia="Arial" w:hAnsi="Arial"/>
          <w:b/>
          <w:bCs/>
          <w:color w:val="1A1A2E"/>
          <w:sz w:val="22"/>
          <w:szCs w:val="22"/>
        </w:rPr>
        <w:t xml:space="preserve">La coherencia con los estándares internacionales</w:t>
      </w:r>
    </w:p>
    <w:p>
      <w:pPr>
        <w:spacing w:after="80" w:before="80" w:line="280"/>
        <w:jc w:val="both"/>
      </w:pPr>
      <w:r>
        <w:rPr>
          <w:rFonts w:ascii="Arial" w:cs="Arial" w:eastAsia="Arial" w:hAnsi="Arial"/>
          <w:color w:val="4A5568"/>
          <w:sz w:val="22"/>
          <w:szCs w:val="22"/>
        </w:rPr>
        <w:t xml:space="preserve">Las Políticas EEJ 2026 no fueron construidas en el vacío: dialogan explícita o implícitamente con los marcos normativos más avanzados del mundo:</w:t>
      </w:r>
    </w:p>
    <w:p>
      <w:pPr>
        <w:pStyle w:val="ListParagraph"/>
        <w:numPr>
          <w:ilvl w:val="0"/>
          <w:numId w:val="2"/>
        </w:numPr>
        <w:spacing w:after="60" w:before="60"/>
      </w:pPr>
      <w:r>
        <w:rPr>
          <w:rFonts w:ascii="Arial" w:cs="Arial" w:eastAsia="Arial" w:hAnsi="Arial"/>
          <w:color w:val="4A5568"/>
          <w:sz w:val="22"/>
          <w:szCs w:val="22"/>
        </w:rPr>
        <w:t xml:space="preserve">Los principios UNESCO para IA en tribunales (2025): Los niveles de supervisión humana (HITL, HOTL, HIC) y el énfasis en auditabilidad y derechos humanos están reflejados en la Política de Gobernanza de IA.</w:t>
      </w:r>
    </w:p>
    <w:p>
      <w:pPr>
        <w:pStyle w:val="ListParagraph"/>
        <w:numPr>
          <w:ilvl w:val="0"/>
          <w:numId w:val="2"/>
        </w:numPr>
        <w:spacing w:after="60" w:before="60"/>
      </w:pPr>
      <w:r>
        <w:rPr>
          <w:rFonts w:ascii="Arial" w:cs="Arial" w:eastAsia="Arial" w:hAnsi="Arial"/>
          <w:color w:val="4A5568"/>
          <w:sz w:val="22"/>
          <w:szCs w:val="22"/>
        </w:rPr>
        <w:t xml:space="preserve">El marco CEPEJ del Consejo de Europa (2018 y sus actualizaciones): La Carta Europea de Uso Ético de la IA en Sistemas Judiciales es el antecedente más importante de la Política de Gobernanza de IA de las Políticas EEJ.</w:t>
      </w:r>
    </w:p>
    <w:p>
      <w:pPr>
        <w:pStyle w:val="ListParagraph"/>
        <w:numPr>
          <w:ilvl w:val="0"/>
          <w:numId w:val="2"/>
        </w:numPr>
        <w:spacing w:after="60" w:before="60"/>
      </w:pPr>
      <w:r>
        <w:rPr>
          <w:rFonts w:ascii="Arial" w:cs="Arial" w:eastAsia="Arial" w:hAnsi="Arial"/>
          <w:color w:val="4A5568"/>
          <w:sz w:val="22"/>
          <w:szCs w:val="22"/>
        </w:rPr>
        <w:t xml:space="preserve">Los principios OCDE sobre IA (2019): Los cinco principios —beneficio humano, valores centrados en la persona, transparencia, robustez y responsabilidad— están operacionalizados en la arquitectura de las dos nuevas políticas.</w:t>
      </w:r>
    </w:p>
    <w:p>
      <w:pPr>
        <w:pStyle w:val="ListParagraph"/>
        <w:numPr>
          <w:ilvl w:val="0"/>
          <w:numId w:val="2"/>
        </w:numPr>
        <w:spacing w:after="60" w:before="60"/>
      </w:pPr>
      <w:r>
        <w:rPr>
          <w:rFonts w:ascii="Arial" w:cs="Arial" w:eastAsia="Arial" w:hAnsi="Arial"/>
          <w:color w:val="4A5568"/>
          <w:sz w:val="22"/>
          <w:szCs w:val="22"/>
        </w:rPr>
        <w:t xml:space="preserve">Education 4.0 del WEF: El paradigma andragógico, constructivista y centrado en competencias que sustenta la Política Educativa EEJ 2026 es directamente coherente con la taxonomía de aprendizaje del WEF para el siglo XXI.</w:t>
      </w:r>
    </w:p>
    <w:p>
      <w:pPr>
        <w:pStyle w:val="Heading3"/>
        <w:spacing w:after="120" w:before="240"/>
      </w:pPr>
      <w:r>
        <w:rPr>
          <w:rFonts w:ascii="Arial" w:cs="Arial" w:eastAsia="Arial" w:hAnsi="Arial"/>
          <w:b/>
          <w:bCs/>
          <w:color w:val="1A1A2E"/>
          <w:sz w:val="22"/>
          <w:szCs w:val="22"/>
        </w:rPr>
        <w:t xml:space="preserve">El Curso como primer paso de un ecosistema</w:t>
      </w:r>
    </w:p>
    <w:p>
      <w:pPr>
        <w:spacing w:after="80" w:before="80" w:line="280"/>
        <w:jc w:val="both"/>
      </w:pPr>
      <w:r>
        <w:rPr>
          <w:rFonts w:ascii="Arial" w:cs="Arial" w:eastAsia="Arial" w:hAnsi="Arial"/>
          <w:color w:val="4A5568"/>
          <w:sz w:val="22"/>
          <w:szCs w:val="22"/>
        </w:rPr>
        <w:t xml:space="preserve">El Curso 'Cultura de Justicia Digital y el Mandato de Transformación' no es una actividad aislada: es la puerta de entrada a un ecosistema de transformación institucional que las Políticas EEJ 2026 diseñan de manera sistémica. Cumple tres funciones esenciales:</w:t>
      </w:r>
    </w:p>
    <w:p>
      <w:pPr>
        <w:pStyle w:val="ListParagraph"/>
        <w:numPr>
          <w:ilvl w:val="0"/>
          <w:numId w:val="2"/>
        </w:numPr>
        <w:spacing w:after="60" w:before="60"/>
      </w:pPr>
      <w:r>
        <w:rPr>
          <w:rFonts w:ascii="Arial" w:cs="Arial" w:eastAsia="Arial" w:hAnsi="Arial"/>
          <w:color w:val="4A5568"/>
          <w:sz w:val="22"/>
          <w:szCs w:val="22"/>
        </w:rPr>
        <w:t xml:space="preserve">Concientización: Instala en el personal del OJ la comprensión de por qué la transformación digital no es una amenaza ni una moda —es un imperativo constitucional y civilizatorio documentado por la evidencia global.</w:t>
      </w:r>
    </w:p>
    <w:p>
      <w:pPr>
        <w:pStyle w:val="ListParagraph"/>
        <w:numPr>
          <w:ilvl w:val="0"/>
          <w:numId w:val="2"/>
        </w:numPr>
        <w:spacing w:after="60" w:before="60"/>
      </w:pPr>
      <w:r>
        <w:rPr>
          <w:rFonts w:ascii="Arial" w:cs="Arial" w:eastAsia="Arial" w:hAnsi="Arial"/>
          <w:color w:val="4A5568"/>
          <w:sz w:val="22"/>
          <w:szCs w:val="22"/>
        </w:rPr>
        <w:t xml:space="preserve">Validación del mandato: Conecta el Eje Transversal de Tecnología de las políticas institucionales con la evidencia académica y científica que lo fundamenta, otorgándole legitimidad más allá del mandato administrativo.</w:t>
      </w:r>
    </w:p>
    <w:p>
      <w:pPr>
        <w:pStyle w:val="ListParagraph"/>
        <w:numPr>
          <w:ilvl w:val="0"/>
          <w:numId w:val="2"/>
        </w:numPr>
        <w:spacing w:after="60" w:before="60"/>
      </w:pPr>
      <w:r>
        <w:rPr>
          <w:rFonts w:ascii="Arial" w:cs="Arial" w:eastAsia="Arial" w:hAnsi="Arial"/>
          <w:color w:val="4A5568"/>
          <w:sz w:val="22"/>
          <w:szCs w:val="22"/>
        </w:rPr>
        <w:t xml:space="preserve">Activación de esperanza e innovación: Muestra —a través de los casos internacionales— que la modernización judicial no solo es posible sino que ya está ocurriendo con resultados concretos en eficiencia, acceso a la justicia y transparencia institucional.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left w:type="dxa" w:w="120"/>
          <w:bottom w:type="dxa" w:w="80"/>
          <w:right w:type="dxa" w:w="120"/>
        </w:tblCellMar>
      </w:tblPr>
      <w:tblGrid>
        <w:gridCol w:w="3120"/>
        <w:gridCol w:w="6240"/>
      </w:tblGrid>
      <w:tr>
        <w:tc>
          <w:tcPr>
            <w:tcW w:type="dxa" w:w="3120"/>
            <w:tcBorders>
              <w:top w:val="single" w:color="CCCCCC" w:sz="1"/>
              <w:left w:val="single" w:color="CCCCCC" w:sz="1"/>
              <w:bottom w:val="single" w:color="CCCCCC" w:sz="1"/>
              <w:right w:val="single" w:color="CCCCCC" w:sz="1"/>
            </w:tcBorders>
            <w:shd w:fill="1F4E8B" w:val="clear"/>
            <w:tcMar>
              <w:top w:type="dxa" w:w="120"/>
              <w:left w:type="dxa" w:w="160"/>
              <w:bottom w:type="dxa" w:w="120"/>
              <w:right w:type="dxa" w:w="160"/>
            </w:tcMar>
            <w:vAlign w:val="center"/>
          </w:tcPr>
          <w:p>
            <w:pPr>
              <w:jc w:val="center"/>
            </w:pPr>
            <w:r>
              <w:rPr>
                <w:rFonts w:ascii="Arial" w:cs="Arial" w:eastAsia="Arial" w:hAnsi="Arial"/>
                <w:b/>
                <w:bCs/>
                <w:color w:val="FFFFFF"/>
                <w:sz w:val="20"/>
                <w:szCs w:val="20"/>
              </w:rPr>
              <w:t xml:space="preserve">Argumento central</w:t>
            </w:r>
          </w:p>
        </w:tc>
        <w:tc>
          <w:tcPr>
            <w:tcW w:type="dxa" w:w="6240"/>
            <w:tcBorders>
              <w:top w:val="single" w:color="CCCCCC" w:sz="1"/>
              <w:left w:val="single" w:color="CCCCCC" w:sz="1"/>
              <w:bottom w:val="single" w:color="CCCCCC" w:sz="1"/>
              <w:right w:val="single" w:color="CCCCCC" w:sz="1"/>
            </w:tcBorders>
            <w:shd w:fill="E8F4F8" w:val="clear"/>
            <w:tcMar>
              <w:top w:type="dxa" w:w="100"/>
              <w:left w:type="dxa" w:w="160"/>
              <w:bottom w:type="dxa" w:w="100"/>
              <w:right w:type="dxa" w:w="160"/>
            </w:tcMar>
          </w:tcPr>
          <w:p>
            <w:r>
              <w:rPr>
                <w:rFonts w:ascii="Arial" w:cs="Arial" w:eastAsia="Arial" w:hAnsi="Arial"/>
                <w:b/>
                <w:bCs/>
                <w:color w:val="1F4E8B"/>
                <w:sz w:val="26"/>
                <w:szCs w:val="26"/>
              </w:rPr>
              <w:t xml:space="preserve">La inacción también es una decisión</w:t>
            </w:r>
          </w:p>
          <w:p>
            <w:r>
              <w:rPr>
                <w:rFonts w:ascii="Arial" w:cs="Arial" w:eastAsia="Arial" w:hAnsi="Arial"/>
                <w:i/>
                <w:iCs/>
                <w:color w:val="4A5568"/>
                <w:sz w:val="18"/>
                <w:szCs w:val="18"/>
              </w:rPr>
              <w:t xml:space="preserve">No adoptar una postura activa ante la tecnología no protege al sistema de justicia: lo expone a los riesgos del uso no regulado, no supervisado y no comprendido de estas herramientas por parte de otros actores del sistema.</w:t>
            </w:r>
          </w:p>
        </w:tc>
      </w:tr>
    </w:tbl>
    <w:p>
      <w:pPr>
        <w:spacing w:after="200" w:before="10"/>
      </w:pPr>
    </w:p>
    <w:p>
      <w:pPr>
        <w:pBdr>
          <w:bottom w:val="single" w:color="DDDDDD" w:sz="2" w:space="1"/>
        </w:pBdr>
        <w:spacing w:after="200" w:before="200"/>
      </w:pPr>
    </w:p>
    <w:p>
      <w:pPr>
        <w:pStyle w:val="Heading1"/>
        <w:pBdr>
          <w:bottom w:val="single" w:color="1F4E8B" w:sz="6" w:space="4"/>
        </w:pBdr>
        <w:spacing w:after="200" w:before="400"/>
      </w:pPr>
      <w:r>
        <w:rPr>
          <w:rFonts w:ascii="Arial" w:cs="Arial" w:eastAsia="Arial" w:hAnsi="Arial"/>
          <w:b/>
          <w:bCs/>
          <w:color w:val="1F4E8B"/>
          <w:sz w:val="32"/>
          <w:szCs w:val="32"/>
        </w:rPr>
        <w:t xml:space="preserve">SÍNTESIS CONCLUSIVA</w:t>
      </w:r>
    </w:p>
    <w:p>
      <w:pPr>
        <w:pStyle w:val="Heading2"/>
        <w:spacing w:after="140" w:before="320"/>
      </w:pPr>
      <w:r>
        <w:rPr>
          <w:rFonts w:ascii="Arial" w:cs="Arial" w:eastAsia="Arial" w:hAnsi="Arial"/>
          <w:b/>
          <w:bCs/>
          <w:color w:val="2E86AB"/>
          <w:sz w:val="26"/>
          <w:szCs w:val="26"/>
        </w:rPr>
        <w:t xml:space="preserve">La evidencia converge en una sola dirección</w:t>
      </w:r>
    </w:p>
    <w:p>
      <w:pPr>
        <w:spacing w:after="80" w:before="80" w:line="280"/>
        <w:jc w:val="both"/>
      </w:pPr>
      <w:r>
        <w:rPr>
          <w:rFonts w:ascii="Arial" w:cs="Arial" w:eastAsia="Arial" w:hAnsi="Arial"/>
          <w:color w:val="4A5568"/>
          <w:sz w:val="22"/>
          <w:szCs w:val="22"/>
        </w:rPr>
        <w:t xml:space="preserve">La investigación presentada en este documento, que abarca más de 25 fuentes primarias de organismos internacionales, estudios académicos peer-reviewed y datos empíricos de uso real de IA, converge en un diagnóstico unificado:</w:t>
      </w:r>
    </w:p>
    <w:p>
      <w:pPr>
        <w:spacing w:after="80" w:before="80" w:line="280"/>
        <w:jc w:val="both"/>
      </w:pPr>
      <w:r>
        <w:rPr>
          <w:rFonts w:ascii="Arial" w:cs="Arial" w:eastAsia="Arial" w:hAnsi="Arial"/>
          <w:color w:val="4A5568"/>
          <w:sz w:val="22"/>
          <w:szCs w:val="22"/>
        </w:rPr>
        <w:t xml:space="preserve">La tecnología —y en particular la Inteligencia Artificial— ya está transformando el sistema de justicia global. No como promesa futura, sino como realidad presente que opera en 96 países, que ha automatizado en algunos casos cientos de miles de resoluciones, que presenta riesgos probados de sesgo y discriminación cuando no se comprende, y que —al mismo tiempo— ofrece la posibilidad más poderosa en la historia para democratizar el acceso a la justicia, reducir la mora judicial y fortalecer la transparencia institucional.</w:t>
      </w:r>
    </w:p>
    <w:p>
      <w:pPr>
        <w:spacing w:after="80" w:before="80" w:line="280"/>
        <w:jc w:val="both"/>
      </w:pPr>
      <w:r>
        <w:rPr>
          <w:rFonts w:ascii="Arial" w:cs="Arial" w:eastAsia="Arial" w:hAnsi="Arial"/>
          <w:color w:val="4A5568"/>
          <w:sz w:val="22"/>
          <w:szCs w:val="22"/>
        </w:rPr>
        <w:t xml:space="preserve">Para el Organismo Judicial de Guatemala, las Políticas EEJ 2026 representan no una respuesta defensiva a estas tendencias, sino una postura institucional proactiva, estructurada y con legitimidad formal construida al más alto nivel. El Curso 'Cultura de Justicia Digital' es el primer eslabón de esa cadena.</w:t>
      </w:r>
    </w:p>
    <w:p>
      <w:pPr>
        <w:spacing w:after="80" w:before="80" w:line="280"/>
        <w:jc w:val="both"/>
      </w:pPr>
      <w:r>
        <w:rPr>
          <w:rFonts w:ascii="Arial" w:cs="Arial" w:eastAsia="Arial" w:hAnsi="Arial"/>
          <w:color w:val="4A5568"/>
          <w:sz w:val="22"/>
          <w:szCs w:val="22"/>
        </w:rPr>
        <w:t xml:space="preserve">La pregunta que este curso invita a cada servidor judicial a responder no es '¿será afectado mi trabajo por la tecnología?' —ya lo está siendo. La pregunta es: '¿quiero ser un actor que comprende, orienta y supervisa ese cambio, o prefiero que el cambio ocurra sin mi comprensión y sin mi participación?'</w:t>
      </w:r>
    </w:p>
    <w:p>
      <w:pPr>
        <w:pBdr>
          <w:bottom w:val="single" w:color="DDDDDD" w:sz="2" w:space="1"/>
        </w:pBdr>
        <w:spacing w:after="200" w:before="200"/>
      </w:pPr>
    </w:p>
    <w:p>
      <w:pPr>
        <w:pStyle w:val="Heading1"/>
        <w:pBdr>
          <w:bottom w:val="single" w:color="1F4E8B" w:sz="6" w:space="4"/>
        </w:pBdr>
        <w:spacing w:after="200" w:before="400"/>
      </w:pPr>
      <w:r>
        <w:rPr>
          <w:rFonts w:ascii="Arial" w:cs="Arial" w:eastAsia="Arial" w:hAnsi="Arial"/>
          <w:b/>
          <w:bCs/>
          <w:color w:val="1F4E8B"/>
          <w:sz w:val="32"/>
          <w:szCs w:val="32"/>
        </w:rPr>
        <w:t xml:space="preserve">FUENTES Y REFERENCIAS BIBLIOGRÁFICAS</w:t>
      </w:r>
    </w:p>
    <w:p>
      <w:pPr>
        <w:pStyle w:val="Heading3"/>
        <w:spacing w:after="120" w:before="240"/>
      </w:pPr>
      <w:r>
        <w:rPr>
          <w:rFonts w:ascii="Arial" w:cs="Arial" w:eastAsia="Arial" w:hAnsi="Arial"/>
          <w:b/>
          <w:bCs/>
          <w:color w:val="1A1A2E"/>
          <w:sz w:val="22"/>
          <w:szCs w:val="22"/>
        </w:rPr>
        <w:t xml:space="preserve">I. Organismos Internacionales — Futuro del Trabajo</w:t>
      </w:r>
    </w:p>
    <w:p>
      <w:pPr>
        <w:spacing w:after="80" w:before="80" w:line="280"/>
        <w:jc w:val="both"/>
      </w:pPr>
      <w:r>
        <w:rPr>
          <w:rFonts w:ascii="Arial" w:cs="Arial" w:eastAsia="Arial" w:hAnsi="Arial"/>
          <w:color w:val="4A5568"/>
          <w:sz w:val="22"/>
          <w:szCs w:val="22"/>
        </w:rPr>
        <w:t xml:space="preserve">World Economic Forum (WEF). The Future of Jobs Report 2025. Ginebra: WEF, enero 2025.</w:t>
      </w:r>
    </w:p>
    <w:p>
      <w:pPr>
        <w:spacing w:after="80" w:before="80" w:line="280"/>
        <w:jc w:val="both"/>
      </w:pPr>
      <w:r>
        <w:rPr>
          <w:rFonts w:ascii="Arial" w:cs="Arial" w:eastAsia="Arial" w:hAnsi="Arial"/>
          <w:color w:val="4A5568"/>
          <w:sz w:val="22"/>
          <w:szCs w:val="22"/>
        </w:rPr>
        <w:t xml:space="preserve">World Economic Forum (WEF). The Future of Jobs Report 2023. Ginebra: WEF.</w:t>
      </w:r>
    </w:p>
    <w:p>
      <w:pPr>
        <w:spacing w:after="80" w:before="80" w:line="280"/>
        <w:jc w:val="both"/>
      </w:pPr>
      <w:r>
        <w:rPr>
          <w:rFonts w:ascii="Arial" w:cs="Arial" w:eastAsia="Arial" w:hAnsi="Arial"/>
          <w:color w:val="4A5568"/>
          <w:sz w:val="22"/>
          <w:szCs w:val="22"/>
        </w:rPr>
        <w:t xml:space="preserve">World Economic Forum (WEF). The Future of Jobs Report 2020. Ginebra: WEF.</w:t>
      </w:r>
    </w:p>
    <w:p>
      <w:pPr>
        <w:spacing w:after="80" w:before="80" w:line="280"/>
        <w:jc w:val="both"/>
      </w:pPr>
      <w:r>
        <w:rPr>
          <w:rFonts w:ascii="Arial" w:cs="Arial" w:eastAsia="Arial" w:hAnsi="Arial"/>
          <w:color w:val="4A5568"/>
          <w:sz w:val="22"/>
          <w:szCs w:val="22"/>
        </w:rPr>
        <w:t xml:space="preserve">World Economic Forum (WEF). The Future of Jobs Report 2018. Ginebra: WEF.</w:t>
      </w:r>
    </w:p>
    <w:p>
      <w:pPr>
        <w:spacing w:after="80" w:before="80" w:line="280"/>
        <w:jc w:val="both"/>
      </w:pPr>
      <w:r>
        <w:rPr>
          <w:rFonts w:ascii="Arial" w:cs="Arial" w:eastAsia="Arial" w:hAnsi="Arial"/>
          <w:color w:val="4A5568"/>
          <w:sz w:val="22"/>
          <w:szCs w:val="22"/>
        </w:rPr>
        <w:t xml:space="preserve">BID — Banco Interamericano de Desarrollo. El futuro del trabajo en América Latina y el Caribe: ¿Cuál es el impacto de la automatización en el empleo y los salarios? Washington D.C.: BID, 2020. DOI: 10.18235/0002960.</w:t>
      </w:r>
    </w:p>
    <w:p>
      <w:pPr>
        <w:spacing w:after="80" w:before="80" w:line="280"/>
        <w:jc w:val="both"/>
      </w:pPr>
      <w:r>
        <w:rPr>
          <w:rFonts w:ascii="Arial" w:cs="Arial" w:eastAsia="Arial" w:hAnsi="Arial"/>
          <w:color w:val="4A5568"/>
          <w:sz w:val="22"/>
          <w:szCs w:val="22"/>
        </w:rPr>
        <w:t xml:space="preserve">BID. El futuro del trabajo en América Latina y el Caribe: ¿Cómo puede la tecnología facilitar la recuperación del empleo tras el COVID-19? Washington D.C.: BID, 2020.</w:t>
      </w:r>
    </w:p>
    <w:p>
      <w:pPr>
        <w:spacing w:after="80" w:before="80" w:line="280"/>
        <w:jc w:val="both"/>
      </w:pPr>
      <w:r>
        <w:rPr>
          <w:rFonts w:ascii="Arial" w:cs="Arial" w:eastAsia="Arial" w:hAnsi="Arial"/>
          <w:color w:val="4A5568"/>
          <w:sz w:val="22"/>
          <w:szCs w:val="22"/>
        </w:rPr>
        <w:t xml:space="preserve">OIT — Organización Internacional del Trabajo. Panorama Laboral 2025: América Latina y el Caribe. Lima: OIT, 2025.</w:t>
      </w:r>
    </w:p>
    <w:p>
      <w:pPr>
        <w:spacing w:after="80" w:before="80" w:line="280"/>
        <w:jc w:val="both"/>
      </w:pPr>
      <w:r>
        <w:rPr>
          <w:rFonts w:ascii="Arial" w:cs="Arial" w:eastAsia="Arial" w:hAnsi="Arial"/>
          <w:color w:val="4A5568"/>
          <w:sz w:val="22"/>
          <w:szCs w:val="22"/>
        </w:rPr>
        <w:t xml:space="preserve">OIT. Panorama Laboral 2024: América Latina y el Caribe. Lima: OIT, 2024.</w:t>
      </w:r>
    </w:p>
    <w:p>
      <w:pPr>
        <w:spacing w:after="80" w:before="80" w:line="280"/>
        <w:jc w:val="both"/>
      </w:pPr>
      <w:r>
        <w:rPr>
          <w:rFonts w:ascii="Arial" w:cs="Arial" w:eastAsia="Arial" w:hAnsi="Arial"/>
          <w:color w:val="4A5568"/>
          <w:sz w:val="22"/>
          <w:szCs w:val="22"/>
        </w:rPr>
        <w:t xml:space="preserve">CEPAL. Balance Preliminar de las Economías de América Latina y el Caribe 2024. Santiago: CEPAL, 2024.</w:t>
      </w:r>
    </w:p>
    <w:p>
      <w:pPr>
        <w:pStyle w:val="Heading3"/>
        <w:spacing w:after="120" w:before="240"/>
      </w:pPr>
      <w:r>
        <w:rPr>
          <w:rFonts w:ascii="Arial" w:cs="Arial" w:eastAsia="Arial" w:hAnsi="Arial"/>
          <w:b/>
          <w:bCs/>
          <w:color w:val="1A1A2E"/>
          <w:sz w:val="22"/>
          <w:szCs w:val="22"/>
        </w:rPr>
        <w:t xml:space="preserve">II. Organismos Internacionales — Educación y Tecnología</w:t>
      </w:r>
    </w:p>
    <w:p>
      <w:pPr>
        <w:spacing w:after="80" w:before="80" w:line="280"/>
        <w:jc w:val="both"/>
      </w:pPr>
      <w:r>
        <w:rPr>
          <w:rFonts w:ascii="Arial" w:cs="Arial" w:eastAsia="Arial" w:hAnsi="Arial"/>
          <w:color w:val="4A5568"/>
          <w:sz w:val="22"/>
          <w:szCs w:val="22"/>
        </w:rPr>
        <w:t xml:space="preserve">World Economic Forum (WEF). New Vision for Education: Unlocking the Potential of Technology. Ginebra: WEF, 2015.</w:t>
      </w:r>
    </w:p>
    <w:p>
      <w:pPr>
        <w:spacing w:after="80" w:before="80" w:line="280"/>
        <w:jc w:val="both"/>
      </w:pPr>
      <w:r>
        <w:rPr>
          <w:rFonts w:ascii="Arial" w:cs="Arial" w:eastAsia="Arial" w:hAnsi="Arial"/>
          <w:color w:val="4A5568"/>
          <w:sz w:val="22"/>
          <w:szCs w:val="22"/>
        </w:rPr>
        <w:t xml:space="preserve">World Economic Forum (WEF). Defining Education 4.0: A Taxonomy for the Future of Learning. White Paper. Ginebra: WEF, enero 2023.</w:t>
      </w:r>
    </w:p>
    <w:p>
      <w:pPr>
        <w:spacing w:after="80" w:before="80" w:line="280"/>
        <w:jc w:val="both"/>
      </w:pPr>
      <w:r>
        <w:rPr>
          <w:rFonts w:ascii="Arial" w:cs="Arial" w:eastAsia="Arial" w:hAnsi="Arial"/>
          <w:color w:val="4A5568"/>
          <w:sz w:val="22"/>
          <w:szCs w:val="22"/>
        </w:rPr>
        <w:t xml:space="preserve">World Economic Forum (WEF). Catalysing Education 4.0: Investing in the Future of Learning for a Human-Centric Recovery. Ginebra: WEF, 2022.</w:t>
      </w:r>
    </w:p>
    <w:p>
      <w:pPr>
        <w:spacing w:after="80" w:before="80" w:line="280"/>
        <w:jc w:val="both"/>
      </w:pPr>
      <w:r>
        <w:rPr>
          <w:rFonts w:ascii="Arial" w:cs="Arial" w:eastAsia="Arial" w:hAnsi="Arial"/>
          <w:color w:val="4A5568"/>
          <w:sz w:val="22"/>
          <w:szCs w:val="22"/>
        </w:rPr>
        <w:t xml:space="preserve">OECD. AI in Justice Administration and Access to Justice. In: Governing with Artificial Intelligence. París: OECD, 2025.</w:t>
      </w:r>
    </w:p>
    <w:p>
      <w:pPr>
        <w:spacing w:after="80" w:before="80" w:line="280"/>
        <w:jc w:val="both"/>
      </w:pPr>
      <w:r>
        <w:rPr>
          <w:rFonts w:ascii="Arial" w:cs="Arial" w:eastAsia="Arial" w:hAnsi="Arial"/>
          <w:color w:val="4A5568"/>
          <w:sz w:val="22"/>
          <w:szCs w:val="22"/>
        </w:rPr>
        <w:t xml:space="preserve">Centro Nacional de Inteligencia Artificial (CENIA). Índice Latinoamericano de Inteligencia Artificial (ILIA) 2023. Santiago: CENIA, 2023.</w:t>
      </w:r>
    </w:p>
    <w:p>
      <w:pPr>
        <w:pStyle w:val="Heading3"/>
        <w:spacing w:after="120" w:before="240"/>
      </w:pPr>
      <w:r>
        <w:rPr>
          <w:rFonts w:ascii="Arial" w:cs="Arial" w:eastAsia="Arial" w:hAnsi="Arial"/>
          <w:b/>
          <w:bCs/>
          <w:color w:val="1A1A2E"/>
          <w:sz w:val="22"/>
          <w:szCs w:val="22"/>
        </w:rPr>
        <w:t xml:space="preserve">III. Inteligencia Artificial e Impacto Económico</w:t>
      </w:r>
    </w:p>
    <w:p>
      <w:pPr>
        <w:spacing w:after="80" w:before="80" w:line="280"/>
        <w:jc w:val="both"/>
      </w:pPr>
      <w:r>
        <w:rPr>
          <w:rFonts w:ascii="Arial" w:cs="Arial" w:eastAsia="Arial" w:hAnsi="Arial"/>
          <w:color w:val="4A5568"/>
          <w:sz w:val="22"/>
          <w:szCs w:val="22"/>
        </w:rPr>
        <w:t xml:space="preserve">Anthropic. Anthropic Economic Index: Economic Primitives Report (Enero 2026). San Francisco: Anthropic, 2026.</w:t>
      </w:r>
    </w:p>
    <w:p>
      <w:pPr>
        <w:spacing w:after="80" w:before="80" w:line="280"/>
        <w:jc w:val="both"/>
      </w:pPr>
      <w:r>
        <w:rPr>
          <w:rFonts w:ascii="Arial" w:cs="Arial" w:eastAsia="Arial" w:hAnsi="Arial"/>
          <w:color w:val="4A5568"/>
          <w:sz w:val="22"/>
          <w:szCs w:val="22"/>
        </w:rPr>
        <w:t xml:space="preserve">Anthropic. Labor Market Impacts of AI: A New Measure and Early Evidence. San Francisco: Anthropic, marzo 2026.</w:t>
      </w:r>
    </w:p>
    <w:p>
      <w:pPr>
        <w:spacing w:after="80" w:before="80" w:line="280"/>
        <w:jc w:val="both"/>
      </w:pPr>
      <w:r>
        <w:rPr>
          <w:rFonts w:ascii="Arial" w:cs="Arial" w:eastAsia="Arial" w:hAnsi="Arial"/>
          <w:color w:val="4A5568"/>
          <w:sz w:val="22"/>
          <w:szCs w:val="22"/>
        </w:rPr>
        <w:t xml:space="preserve">Stanford Institute for Human-Centered AI (HAI). AI Index Report 2025. Stanford University, abril 2025.</w:t>
      </w:r>
    </w:p>
    <w:p>
      <w:pPr>
        <w:pStyle w:val="Heading3"/>
        <w:spacing w:after="120" w:before="240"/>
      </w:pPr>
      <w:r>
        <w:rPr>
          <w:rFonts w:ascii="Arial" w:cs="Arial" w:eastAsia="Arial" w:hAnsi="Arial"/>
          <w:b/>
          <w:bCs/>
          <w:color w:val="1A1A2E"/>
          <w:sz w:val="22"/>
          <w:szCs w:val="22"/>
        </w:rPr>
        <w:t xml:space="preserve">IV. IA en Sistemas de Justicia</w:t>
      </w:r>
    </w:p>
    <w:p>
      <w:pPr>
        <w:spacing w:after="80" w:before="80" w:line="280"/>
        <w:jc w:val="both"/>
      </w:pPr>
      <w:r>
        <w:rPr>
          <w:rFonts w:ascii="Arial" w:cs="Arial" w:eastAsia="Arial" w:hAnsi="Arial"/>
          <w:color w:val="4A5568"/>
          <w:sz w:val="22"/>
          <w:szCs w:val="22"/>
        </w:rPr>
        <w:t xml:space="preserve">UNESCO. Guidelines for the Use of AI Systems in Courts and Tribunals. Lanzadas en The Athens Roundtable on AI and the Rule of Law. Londres, diciembre 2025. UNESDOC Ark:/48223/pf0000393682.</w:t>
      </w:r>
    </w:p>
    <w:p>
      <w:pPr>
        <w:spacing w:after="80" w:before="80" w:line="280"/>
        <w:jc w:val="both"/>
      </w:pPr>
      <w:r>
        <w:rPr>
          <w:rFonts w:ascii="Arial" w:cs="Arial" w:eastAsia="Arial" w:hAnsi="Arial"/>
          <w:color w:val="4A5568"/>
          <w:sz w:val="22"/>
          <w:szCs w:val="22"/>
        </w:rPr>
        <w:t xml:space="preserve">UNESCO. AI and the Judiciary: Balancing Innovation with Integrity. París: UNESCO, 2024.</w:t>
      </w:r>
    </w:p>
    <w:p>
      <w:pPr>
        <w:spacing w:after="80" w:before="80" w:line="280"/>
        <w:jc w:val="both"/>
      </w:pPr>
      <w:r>
        <w:rPr>
          <w:rFonts w:ascii="Arial" w:cs="Arial" w:eastAsia="Arial" w:hAnsi="Arial"/>
          <w:color w:val="4A5568"/>
          <w:sz w:val="22"/>
          <w:szCs w:val="22"/>
        </w:rPr>
        <w:t xml:space="preserve">Stimson Center. AI in Global Majority Judicial Systems. Washington D.C.: Stimson Center, enero 2026.</w:t>
      </w:r>
    </w:p>
    <w:p>
      <w:pPr>
        <w:spacing w:after="80" w:before="80" w:line="280"/>
        <w:jc w:val="both"/>
      </w:pPr>
      <w:r>
        <w:rPr>
          <w:rFonts w:ascii="Arial" w:cs="Arial" w:eastAsia="Arial" w:hAnsi="Arial"/>
          <w:color w:val="4A5568"/>
          <w:sz w:val="22"/>
          <w:szCs w:val="22"/>
        </w:rPr>
        <w:t xml:space="preserve">Council of Europe. European Ethical Charter on the Use of Artificial Intelligence in Judicial Systems (CEPEJ). Estrasburgo: Consejo de Europa, 2018.</w:t>
      </w:r>
    </w:p>
    <w:p>
      <w:pPr>
        <w:spacing w:after="80" w:before="80" w:line="280"/>
        <w:jc w:val="both"/>
      </w:pPr>
      <w:r>
        <w:rPr>
          <w:rFonts w:ascii="Arial" w:cs="Arial" w:eastAsia="Arial" w:hAnsi="Arial"/>
          <w:color w:val="4A5568"/>
          <w:sz w:val="22"/>
          <w:szCs w:val="22"/>
        </w:rPr>
        <w:t xml:space="preserve">Frontiers in Political Science. Adoption of Artificial Intelligence in the Judiciary: A Comparison of 28 Advanced Democracies. 2025. DOI: 10.1007/s44163-025-00311-y.</w:t>
      </w:r>
    </w:p>
    <w:p>
      <w:pPr>
        <w:spacing w:after="80" w:before="80" w:line="280"/>
        <w:jc w:val="both"/>
      </w:pPr>
      <w:r>
        <w:rPr>
          <w:rFonts w:ascii="Arial" w:cs="Arial" w:eastAsia="Arial" w:hAnsi="Arial"/>
          <w:color w:val="4A5568"/>
          <w:sz w:val="22"/>
          <w:szCs w:val="22"/>
        </w:rPr>
        <w:t xml:space="preserve">Journal of Law and Sustainable Development. The Rise of AI in Procedural Jurisprudence: Global Innovations, Legal Frameworks, and Future Implications. 2025. DOI: ojs.journalsdg.org/jlss.</w:t>
      </w:r>
    </w:p>
    <w:p>
      <w:pPr>
        <w:spacing w:after="80" w:before="80" w:line="280"/>
        <w:jc w:val="both"/>
      </w:pPr>
      <w:r>
        <w:rPr>
          <w:rFonts w:ascii="Arial" w:cs="Arial" w:eastAsia="Arial" w:hAnsi="Arial"/>
          <w:color w:val="4A5568"/>
          <w:sz w:val="22"/>
          <w:szCs w:val="22"/>
        </w:rPr>
        <w:t xml:space="preserve">ScienceDirect. Access to Technology, Access to Justice: China's Artificial Intelligence Application in Criminal Proceedings. 2025.</w:t>
      </w:r>
    </w:p>
    <w:p>
      <w:pPr>
        <w:spacing w:after="80" w:before="80" w:line="280"/>
        <w:jc w:val="both"/>
      </w:pPr>
      <w:r>
        <w:rPr>
          <w:rFonts w:ascii="Arial" w:cs="Arial" w:eastAsia="Arial" w:hAnsi="Arial"/>
          <w:color w:val="4A5568"/>
          <w:sz w:val="22"/>
          <w:szCs w:val="22"/>
        </w:rPr>
        <w:t xml:space="preserve">Super Lawyers. Avoiding Algorithmic Bias: Top 5 AI Liability Issues in Courts. Diciembre 2025.</w:t>
      </w:r>
    </w:p>
    <w:p>
      <w:pPr>
        <w:pStyle w:val="Heading3"/>
        <w:spacing w:after="120" w:before="240"/>
      </w:pPr>
      <w:r>
        <w:rPr>
          <w:rFonts w:ascii="Arial" w:cs="Arial" w:eastAsia="Arial" w:hAnsi="Arial"/>
          <w:b/>
          <w:bCs/>
          <w:color w:val="1A1A2E"/>
          <w:sz w:val="22"/>
          <w:szCs w:val="22"/>
        </w:rPr>
        <w:t xml:space="preserve">V. Sesgo Algorítmico y Riesgos</w:t>
      </w:r>
    </w:p>
    <w:p>
      <w:pPr>
        <w:spacing w:after="80" w:before="80" w:line="280"/>
        <w:jc w:val="both"/>
      </w:pPr>
      <w:r>
        <w:rPr>
          <w:rFonts w:ascii="Arial" w:cs="Arial" w:eastAsia="Arial" w:hAnsi="Arial"/>
          <w:color w:val="4A5568"/>
          <w:sz w:val="22"/>
          <w:szCs w:val="22"/>
        </w:rPr>
        <w:t xml:space="preserve">IBM. What Is Algorithmic Bias? 2025. ibm.com/think/topics/algorithmic-bias.</w:t>
      </w:r>
    </w:p>
    <w:p>
      <w:pPr>
        <w:spacing w:after="80" w:before="80" w:line="280"/>
        <w:jc w:val="both"/>
      </w:pPr>
      <w:r>
        <w:rPr>
          <w:rFonts w:ascii="Arial" w:cs="Arial" w:eastAsia="Arial" w:hAnsi="Arial"/>
          <w:color w:val="4A5568"/>
          <w:sz w:val="22"/>
          <w:szCs w:val="22"/>
        </w:rPr>
        <w:t xml:space="preserve">Frontiers in Artificial Intelligence. Algorithmic Discrimination: Examining Its Types and Regulatory Measures. 2024. DOI: 10.3389/frai.2024.1320277.</w:t>
      </w:r>
    </w:p>
    <w:p>
      <w:pPr>
        <w:spacing w:after="80" w:before="80" w:line="280"/>
        <w:jc w:val="both"/>
      </w:pPr>
      <w:r>
        <w:rPr>
          <w:rFonts w:ascii="Arial" w:cs="Arial" w:eastAsia="Arial" w:hAnsi="Arial"/>
          <w:color w:val="4A5568"/>
          <w:sz w:val="22"/>
          <w:szCs w:val="22"/>
        </w:rPr>
        <w:t xml:space="preserve">American Bar Association. Navigating the AI Employment Bias Maze: Legal Compliance Guidelines and Strategies. 2024.</w:t>
      </w:r>
    </w:p>
    <w:p>
      <w:pPr>
        <w:pStyle w:val="Heading3"/>
        <w:spacing w:after="120" w:before="240"/>
      </w:pPr>
      <w:r>
        <w:rPr>
          <w:rFonts w:ascii="Arial" w:cs="Arial" w:eastAsia="Arial" w:hAnsi="Arial"/>
          <w:b/>
          <w:bCs/>
          <w:color w:val="1A1A2E"/>
          <w:sz w:val="22"/>
          <w:szCs w:val="22"/>
        </w:rPr>
        <w:t xml:space="preserve">VI. Ciudadanía Digital</w:t>
      </w:r>
    </w:p>
    <w:p>
      <w:pPr>
        <w:spacing w:after="80" w:before="80" w:line="280"/>
        <w:jc w:val="both"/>
      </w:pPr>
      <w:r>
        <w:rPr>
          <w:rFonts w:ascii="Arial" w:cs="Arial" w:eastAsia="Arial" w:hAnsi="Arial"/>
          <w:color w:val="4A5568"/>
          <w:sz w:val="22"/>
          <w:szCs w:val="22"/>
        </w:rPr>
        <w:t xml:space="preserve">Consejo de Europa. Año Europeo de la Educación para la Ciudadanía Digital 2025. Estrasburgo: CoE, enero 2025.</w:t>
      </w:r>
    </w:p>
    <w:p>
      <w:pPr>
        <w:spacing w:after="80" w:before="80" w:line="280"/>
        <w:jc w:val="both"/>
      </w:pPr>
      <w:r>
        <w:rPr>
          <w:rFonts w:ascii="Arial" w:cs="Arial" w:eastAsia="Arial" w:hAnsi="Arial"/>
          <w:color w:val="4A5568"/>
          <w:sz w:val="22"/>
          <w:szCs w:val="22"/>
        </w:rPr>
        <w:t xml:space="preserve">UNESCO. Digital Citizenship Framework. París: UNESCO.</w:t>
      </w:r>
    </w:p>
    <w:p>
      <w:pPr>
        <w:pStyle w:val="Heading3"/>
        <w:spacing w:after="120" w:before="240"/>
      </w:pPr>
      <w:r>
        <w:rPr>
          <w:rFonts w:ascii="Arial" w:cs="Arial" w:eastAsia="Arial" w:hAnsi="Arial"/>
          <w:b/>
          <w:bCs/>
          <w:color w:val="1A1A2E"/>
          <w:sz w:val="22"/>
          <w:szCs w:val="22"/>
        </w:rPr>
        <w:t xml:space="preserve">VII. Normativa Institucional — Organismo Judicial de Guatemala</w:t>
      </w:r>
    </w:p>
    <w:p>
      <w:pPr>
        <w:spacing w:after="80" w:before="80" w:line="280"/>
        <w:jc w:val="both"/>
      </w:pPr>
      <w:r>
        <w:rPr>
          <w:rFonts w:ascii="Arial" w:cs="Arial" w:eastAsia="Arial" w:hAnsi="Arial"/>
          <w:color w:val="4A5568"/>
          <w:sz w:val="22"/>
          <w:szCs w:val="22"/>
        </w:rPr>
        <w:t xml:space="preserve">Escuela de Estudios Judiciales. Políticas de la Escuela de Estudios Judiciales 2026. Aprobadas mediante Oficio CCJSEUA-106-2026. Guatemala: OJ, 2026.</w:t>
      </w:r>
    </w:p>
    <w:p>
      <w:pPr>
        <w:spacing w:after="80" w:before="80" w:line="280"/>
        <w:jc w:val="both"/>
      </w:pPr>
      <w:r>
        <w:rPr>
          <w:rFonts w:ascii="Arial" w:cs="Arial" w:eastAsia="Arial" w:hAnsi="Arial"/>
          <w:color w:val="4A5568"/>
          <w:sz w:val="22"/>
          <w:szCs w:val="22"/>
        </w:rPr>
        <w:t xml:space="preserve">Consejo de la Carrera Judicial. Oficio CCJ-SE-UA-678-2025/HEBA. Aprobación Políticas EEJ con Eje Transversal de Tecnología. Guatemala: CCJ, 2025.</w:t>
      </w:r>
    </w:p>
    <w:p>
      <w:pPr>
        <w:spacing w:after="80" w:before="80" w:line="280"/>
        <w:jc w:val="both"/>
      </w:pPr>
      <w:r>
        <w:rPr>
          <w:rFonts w:ascii="Arial" w:cs="Arial" w:eastAsia="Arial" w:hAnsi="Arial"/>
          <w:color w:val="4A5568"/>
          <w:sz w:val="22"/>
          <w:szCs w:val="22"/>
        </w:rPr>
        <w:t xml:space="preserve">Honorable Corte Suprema de Justicia. Referencia 313 / Acta 25-2025/Acmd. Aval a las Políticas EEJ. Guatemala: CSJ, 2025.</w:t>
      </w:r>
    </w:p>
    <w:p>
      <w:pPr>
        <w:spacing w:after="80" w:before="80" w:line="280"/>
        <w:jc w:val="both"/>
      </w:pPr>
      <w:r>
        <w:rPr>
          <w:rFonts w:ascii="Arial" w:cs="Arial" w:eastAsia="Arial" w:hAnsi="Arial"/>
          <w:color w:val="4A5568"/>
          <w:sz w:val="22"/>
          <w:szCs w:val="22"/>
        </w:rPr>
        <w:t xml:space="preserve">Consejo de la Carrera Judicial. Oficio CCJSEUA-106-2026. Aprobación Políticas EEJ 2026. Guatemala: CCJ, 2026.</w:t>
      </w:r>
    </w:p>
    <w:p>
      <w:pPr>
        <w:spacing w:after="80" w:before="300"/>
        <w:jc w:val="center"/>
      </w:pPr>
      <w:r>
        <w:rPr>
          <w:rFonts w:ascii="Arial" w:cs="Arial" w:eastAsia="Arial" w:hAnsi="Arial"/>
          <w:color w:val="CCCCCC"/>
          <w:sz w:val="20"/>
          <w:szCs w:val="20"/>
        </w:rPr>
        <w:t xml:space="preserve">─────────────────────────────────────────────</w:t>
      </w:r>
    </w:p>
    <w:p>
      <w:pPr>
        <w:spacing w:after="80" w:before="80"/>
        <w:jc w:val="center"/>
      </w:pPr>
      <w:r>
        <w:rPr>
          <w:rFonts w:ascii="Arial" w:cs="Arial" w:eastAsia="Arial" w:hAnsi="Arial"/>
          <w:i/>
          <w:iCs/>
          <w:color w:val="AAAAAA"/>
          <w:sz w:val="18"/>
          <w:szCs w:val="18"/>
        </w:rPr>
        <w:t xml:space="preserve">Documento preparado en el marco del Programa de Capacitación 2025-2026</w:t>
      </w:r>
    </w:p>
    <w:p>
      <w:pPr>
        <w:spacing w:after="40" w:before="40"/>
        <w:jc w:val="center"/>
      </w:pPr>
      <w:r>
        <w:rPr>
          <w:rFonts w:ascii="Arial" w:cs="Arial" w:eastAsia="Arial" w:hAnsi="Arial"/>
          <w:i/>
          <w:iCs/>
          <w:color w:val="1F4E8B"/>
          <w:sz w:val="18"/>
          <w:szCs w:val="18"/>
        </w:rPr>
        <w:t xml:space="preserve">Escuela de Estudios Judiciales — Organismo Judicial de Guatemala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sz w:val="32"/>
      <w:szCs w:val="32"/>
    </w:rPr>
  </w:style>
  <w:style w:type="paragraph" w:styleId="Heading2">
    <w:name w:val="Heading 2"/>
    <w:basedOn w:val="Normal"/>
    <w:next w:val="Normal"/>
    <w:qFormat/>
    <w:pPr>
      <w:spacing w:after="140" w:before="320"/>
      <w:outlineLvl w:val="1"/>
    </w:pPr>
    <w:rPr>
      <w:rFonts w:ascii="Arial" w:cs="Arial" w:eastAsia="Arial" w:hAnsi="Arial"/>
      <w:b/>
      <w:bCs/>
      <w:sz w:val="26"/>
      <w:szCs w:val="26"/>
    </w:rPr>
  </w:style>
  <w:style w:type="paragraph" w:styleId="Heading3">
    <w:name w:val="Heading 3"/>
    <w:basedOn w:val="Normal"/>
    <w:next w:val="Normal"/>
    <w:qFormat/>
    <w:pPr>
      <w:spacing w:after="120" w:before="240"/>
      <w:outlineLvl w:val="2"/>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2026-03-09T16:16:42.850Z</dcterms:created>
  <dcterms:modified xsi:type="dcterms:W3CDTF">2026-03-09T16:16:42.851Z</dcterms:modified>
</cp:coreProperties>
</file>

<file path=docProps/custom.xml><?xml version="1.0" encoding="utf-8"?>
<Properties xmlns="http://schemas.openxmlformats.org/officeDocument/2006/custom-properties" xmlns:vt="http://schemas.openxmlformats.org/officeDocument/2006/docPropsVTypes"/>
</file>